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80EC4B">
      <w:pPr>
        <w:jc w:val="both"/>
        <w:rPr>
          <w:rFonts w:hint="eastAsia" w:ascii="方正小标宋简体" w:hAnsi="方正小标宋简体" w:eastAsia="方正小标宋简体" w:cs="方正小标宋简体"/>
          <w:b w:val="0"/>
          <w:bCs w:val="0"/>
          <w:sz w:val="44"/>
          <w:szCs w:val="44"/>
          <w:highlight w:val="none"/>
          <w:u w:val="none"/>
          <w:lang w:val="en-US" w:eastAsia="zh-CN"/>
        </w:rPr>
      </w:pPr>
      <w:r>
        <w:rPr>
          <w:rFonts w:hint="eastAsia" w:ascii="方正小标宋简体" w:hAnsi="方正小标宋简体" w:eastAsia="方正小标宋简体" w:cs="方正小标宋简体"/>
          <w:b w:val="0"/>
          <w:bCs w:val="0"/>
          <w:sz w:val="44"/>
          <w:szCs w:val="44"/>
          <w:highlight w:val="none"/>
          <w:u w:val="none"/>
          <w:lang w:val="en-US" w:eastAsia="zh-CN"/>
        </w:rPr>
        <w:drawing>
          <wp:inline distT="0" distB="0" distL="114300" distR="114300">
            <wp:extent cx="1027430" cy="908050"/>
            <wp:effectExtent l="0" t="0" r="1270" b="6350"/>
            <wp:docPr id="2" name="图片 2" descr="统计资料封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统计资料封面"/>
                    <pic:cNvPicPr>
                      <a:picLocks noChangeAspect="1"/>
                    </pic:cNvPicPr>
                  </pic:nvPicPr>
                  <pic:blipFill>
                    <a:blip r:embed="rId5"/>
                    <a:stretch>
                      <a:fillRect/>
                    </a:stretch>
                  </pic:blipFill>
                  <pic:spPr>
                    <a:xfrm>
                      <a:off x="0" y="0"/>
                      <a:ext cx="1027430" cy="908050"/>
                    </a:xfrm>
                    <a:prstGeom prst="rect">
                      <a:avLst/>
                    </a:prstGeom>
                  </pic:spPr>
                </pic:pic>
              </a:graphicData>
            </a:graphic>
          </wp:inline>
        </w:drawing>
      </w:r>
    </w:p>
    <w:p w14:paraId="1860B897">
      <w:pPr>
        <w:pStyle w:val="2"/>
        <w:jc w:val="center"/>
        <w:rPr>
          <w:rFonts w:hint="eastAsia" w:ascii="方正小标宋简体" w:hAnsi="方正小标宋简体" w:eastAsia="方正小标宋简体" w:cs="方正小标宋简体"/>
          <w:b w:val="0"/>
          <w:bCs w:val="0"/>
          <w:sz w:val="72"/>
          <w:szCs w:val="72"/>
          <w:highlight w:val="none"/>
          <w:u w:val="none"/>
          <w:lang w:val="en-US" w:eastAsia="zh-CN"/>
        </w:rPr>
      </w:pPr>
    </w:p>
    <w:p w14:paraId="111D2651">
      <w:pPr>
        <w:pStyle w:val="2"/>
        <w:jc w:val="center"/>
        <w:rPr>
          <w:rFonts w:hint="eastAsia" w:ascii="方正小标宋简体" w:hAnsi="方正小标宋简体" w:eastAsia="方正小标宋简体" w:cs="方正小标宋简体"/>
          <w:b w:val="0"/>
          <w:bCs w:val="0"/>
          <w:sz w:val="60"/>
          <w:szCs w:val="60"/>
          <w:highlight w:val="none"/>
          <w:u w:val="none"/>
          <w:lang w:val="en-US" w:eastAsia="zh-CN"/>
        </w:rPr>
      </w:pPr>
      <w:r>
        <w:rPr>
          <w:rFonts w:hint="eastAsia" w:ascii="方正小标宋简体" w:hAnsi="方正小标宋简体" w:eastAsia="方正小标宋简体" w:cs="方正小标宋简体"/>
          <w:b w:val="0"/>
          <w:bCs w:val="0"/>
          <w:sz w:val="60"/>
          <w:szCs w:val="60"/>
          <w:highlight w:val="none"/>
          <w:u w:val="none"/>
          <w:lang w:val="en-US" w:eastAsia="zh-CN"/>
        </w:rPr>
        <w:t>鄂州市供销合作社“十五五”</w:t>
      </w:r>
      <w:r>
        <w:rPr>
          <w:rFonts w:hint="eastAsia" w:ascii="方正小标宋简体" w:hAnsi="方正小标宋简体" w:eastAsia="方正小标宋简体" w:cs="方正小标宋简体"/>
          <w:b w:val="0"/>
          <w:bCs w:val="0"/>
          <w:sz w:val="60"/>
          <w:szCs w:val="60"/>
          <w:highlight w:val="none"/>
          <w:u w:val="none"/>
          <w:lang w:val="en-US" w:eastAsia="zh-CN"/>
        </w:rPr>
        <w:br w:type="textWrapping"/>
      </w:r>
      <w:r>
        <w:rPr>
          <w:rFonts w:hint="eastAsia" w:ascii="方正小标宋简体" w:hAnsi="方正小标宋简体" w:eastAsia="方正小标宋简体" w:cs="方正小标宋简体"/>
          <w:b w:val="0"/>
          <w:bCs w:val="0"/>
          <w:sz w:val="60"/>
          <w:szCs w:val="60"/>
          <w:highlight w:val="none"/>
          <w:u w:val="none"/>
          <w:lang w:val="en-US" w:eastAsia="zh-CN"/>
        </w:rPr>
        <w:t>发展规划</w:t>
      </w:r>
    </w:p>
    <w:p w14:paraId="5FAF5390">
      <w:pPr>
        <w:pStyle w:val="2"/>
        <w:jc w:val="center"/>
        <w:rPr>
          <w:rFonts w:hint="eastAsia" w:ascii="楷体" w:hAnsi="楷体" w:eastAsia="楷体" w:cs="楷体"/>
          <w:b w:val="0"/>
          <w:bCs w:val="0"/>
          <w:sz w:val="40"/>
          <w:szCs w:val="40"/>
          <w:highlight w:val="none"/>
          <w:u w:val="none"/>
          <w:lang w:val="en-US" w:eastAsia="zh-CN"/>
        </w:rPr>
      </w:pPr>
      <w:r>
        <w:rPr>
          <w:rFonts w:hint="eastAsia" w:ascii="楷体" w:hAnsi="楷体" w:eastAsia="楷体" w:cs="楷体"/>
          <w:b w:val="0"/>
          <w:bCs w:val="0"/>
          <w:sz w:val="40"/>
          <w:szCs w:val="40"/>
          <w:highlight w:val="none"/>
          <w:u w:val="none"/>
          <w:lang w:val="en-US" w:eastAsia="zh-CN"/>
        </w:rPr>
        <w:t>（送审稿）</w:t>
      </w:r>
    </w:p>
    <w:p w14:paraId="3B7C9227">
      <w:pPr>
        <w:rPr>
          <w:rFonts w:hint="eastAsia" w:ascii="楷体" w:hAnsi="楷体" w:eastAsia="楷体" w:cs="楷体"/>
          <w:b w:val="0"/>
          <w:bCs w:val="0"/>
          <w:sz w:val="40"/>
          <w:szCs w:val="40"/>
          <w:highlight w:val="none"/>
          <w:u w:val="none"/>
          <w:lang w:val="en-US" w:eastAsia="zh-CN"/>
        </w:rPr>
      </w:pPr>
    </w:p>
    <w:p w14:paraId="79776D4E">
      <w:pPr>
        <w:pStyle w:val="2"/>
        <w:rPr>
          <w:rFonts w:hint="eastAsia" w:ascii="楷体" w:hAnsi="楷体" w:eastAsia="楷体" w:cs="楷体"/>
          <w:b w:val="0"/>
          <w:bCs w:val="0"/>
          <w:sz w:val="40"/>
          <w:szCs w:val="40"/>
          <w:highlight w:val="none"/>
          <w:u w:val="none"/>
          <w:lang w:val="en-US" w:eastAsia="zh-CN"/>
        </w:rPr>
      </w:pPr>
    </w:p>
    <w:p w14:paraId="2A4B6594">
      <w:pPr>
        <w:rPr>
          <w:rFonts w:hint="eastAsia" w:ascii="楷体" w:hAnsi="楷体" w:eastAsia="楷体" w:cs="楷体"/>
          <w:b w:val="0"/>
          <w:bCs w:val="0"/>
          <w:sz w:val="40"/>
          <w:szCs w:val="40"/>
          <w:highlight w:val="none"/>
          <w:u w:val="none"/>
          <w:lang w:val="en-US" w:eastAsia="zh-CN"/>
        </w:rPr>
      </w:pPr>
    </w:p>
    <w:p w14:paraId="2ADADFB8">
      <w:pPr>
        <w:pStyle w:val="2"/>
        <w:rPr>
          <w:rFonts w:hint="eastAsia" w:ascii="楷体" w:hAnsi="楷体" w:eastAsia="楷体" w:cs="楷体"/>
          <w:b w:val="0"/>
          <w:bCs w:val="0"/>
          <w:sz w:val="40"/>
          <w:szCs w:val="40"/>
          <w:highlight w:val="none"/>
          <w:u w:val="none"/>
          <w:lang w:val="en-US" w:eastAsia="zh-CN"/>
        </w:rPr>
      </w:pPr>
    </w:p>
    <w:p w14:paraId="0CADD165">
      <w:pPr>
        <w:rPr>
          <w:rFonts w:hint="eastAsia"/>
          <w:lang w:val="en-US" w:eastAsia="zh-CN"/>
        </w:rPr>
      </w:pPr>
    </w:p>
    <w:p w14:paraId="33F54FEB">
      <w:pPr>
        <w:pStyle w:val="2"/>
        <w:rPr>
          <w:rFonts w:hint="eastAsia" w:ascii="楷体" w:hAnsi="楷体" w:eastAsia="楷体" w:cs="楷体"/>
          <w:b w:val="0"/>
          <w:bCs w:val="0"/>
          <w:sz w:val="40"/>
          <w:szCs w:val="40"/>
          <w:highlight w:val="none"/>
          <w:u w:val="none"/>
          <w:lang w:val="en-US" w:eastAsia="zh-CN"/>
        </w:rPr>
      </w:pPr>
    </w:p>
    <w:p w14:paraId="6108232F">
      <w:pPr>
        <w:rPr>
          <w:rFonts w:hint="eastAsia" w:ascii="楷体" w:hAnsi="楷体" w:eastAsia="楷体" w:cs="楷体"/>
          <w:b w:val="0"/>
          <w:bCs w:val="0"/>
          <w:sz w:val="40"/>
          <w:szCs w:val="40"/>
          <w:highlight w:val="none"/>
          <w:u w:val="none"/>
          <w:lang w:val="en-US" w:eastAsia="zh-CN"/>
        </w:rPr>
      </w:pPr>
    </w:p>
    <w:p w14:paraId="2CDCD8EA">
      <w:pPr>
        <w:pStyle w:val="2"/>
        <w:rPr>
          <w:rFonts w:hint="eastAsia"/>
          <w:lang w:val="en-US" w:eastAsia="zh-CN"/>
        </w:rPr>
      </w:pPr>
      <w:bookmarkStart w:id="79" w:name="_GoBack"/>
      <w:bookmarkEnd w:id="79"/>
    </w:p>
    <w:p w14:paraId="0893169E">
      <w:pPr>
        <w:rPr>
          <w:rFonts w:hint="eastAsia" w:ascii="楷体" w:hAnsi="楷体" w:eastAsia="楷体" w:cs="楷体"/>
          <w:b w:val="0"/>
          <w:bCs w:val="0"/>
          <w:sz w:val="40"/>
          <w:szCs w:val="40"/>
          <w:highlight w:val="none"/>
          <w:u w:val="none"/>
          <w:lang w:val="en-US" w:eastAsia="zh-CN"/>
        </w:rPr>
      </w:pPr>
    </w:p>
    <w:p w14:paraId="0F53D73B">
      <w:pPr>
        <w:pStyle w:val="2"/>
        <w:rPr>
          <w:rFonts w:hint="eastAsia" w:ascii="楷体" w:hAnsi="楷体" w:eastAsia="楷体" w:cs="楷体"/>
          <w:b w:val="0"/>
          <w:bCs w:val="0"/>
          <w:sz w:val="40"/>
          <w:szCs w:val="40"/>
          <w:highlight w:val="none"/>
          <w:u w:val="none"/>
          <w:lang w:val="en-US" w:eastAsia="zh-CN"/>
        </w:rPr>
      </w:pPr>
    </w:p>
    <w:p w14:paraId="3D979BC4">
      <w:pPr>
        <w:rPr>
          <w:rFonts w:hint="eastAsia" w:ascii="楷体" w:hAnsi="楷体" w:eastAsia="楷体" w:cs="楷体"/>
          <w:b w:val="0"/>
          <w:bCs w:val="0"/>
          <w:sz w:val="40"/>
          <w:szCs w:val="40"/>
          <w:highlight w:val="none"/>
          <w:u w:val="none"/>
          <w:lang w:val="en-US" w:eastAsia="zh-CN"/>
        </w:rPr>
      </w:pPr>
    </w:p>
    <w:p w14:paraId="160BE12D">
      <w:pPr>
        <w:pStyle w:val="2"/>
        <w:rPr>
          <w:rFonts w:hint="eastAsia" w:ascii="楷体" w:hAnsi="楷体" w:eastAsia="楷体" w:cs="楷体"/>
          <w:b w:val="0"/>
          <w:bCs w:val="0"/>
          <w:sz w:val="40"/>
          <w:szCs w:val="40"/>
          <w:highlight w:val="none"/>
          <w:u w:val="none"/>
          <w:lang w:val="en-US" w:eastAsia="zh-CN"/>
        </w:rPr>
      </w:pPr>
    </w:p>
    <w:p w14:paraId="42BAA68C">
      <w:pPr>
        <w:jc w:val="center"/>
        <w:rPr>
          <w:rFonts w:hint="default" w:ascii="楷体" w:hAnsi="楷体" w:eastAsia="楷体" w:cs="楷体"/>
          <w:b w:val="0"/>
          <w:bCs w:val="0"/>
          <w:sz w:val="40"/>
          <w:szCs w:val="40"/>
          <w:highlight w:val="none"/>
          <w:u w:val="none"/>
          <w:lang w:val="en-US" w:eastAsia="zh-CN"/>
        </w:rPr>
      </w:pPr>
      <w:r>
        <w:rPr>
          <w:rFonts w:hint="eastAsia" w:ascii="楷体" w:hAnsi="楷体" w:eastAsia="楷体" w:cs="楷体"/>
          <w:b w:val="0"/>
          <w:bCs w:val="0"/>
          <w:sz w:val="40"/>
          <w:szCs w:val="40"/>
          <w:highlight w:val="none"/>
          <w:u w:val="none"/>
          <w:lang w:val="en-US" w:eastAsia="zh-CN"/>
        </w:rPr>
        <w:t>2026年3月</w:t>
      </w:r>
    </w:p>
    <w:p w14:paraId="32A77EFD">
      <w:pPr>
        <w:pStyle w:val="2"/>
        <w:rPr>
          <w:rFonts w:hint="eastAsia" w:ascii="楷体" w:hAnsi="楷体" w:eastAsia="楷体" w:cs="楷体"/>
          <w:b w:val="0"/>
          <w:bCs w:val="0"/>
          <w:sz w:val="40"/>
          <w:szCs w:val="40"/>
          <w:highlight w:val="none"/>
          <w:u w:val="none"/>
          <w:lang w:val="en-US" w:eastAsia="zh-CN"/>
        </w:rPr>
      </w:pPr>
    </w:p>
    <w:p w14:paraId="2D69E6BD">
      <w:pPr>
        <w:rPr>
          <w:rFonts w:hint="eastAsia"/>
          <w:lang w:val="en-US" w:eastAsia="zh-CN"/>
        </w:rPr>
        <w:sectPr>
          <w:pgSz w:w="11906" w:h="16838"/>
          <w:pgMar w:top="1440" w:right="1800" w:bottom="1440" w:left="1800" w:header="851" w:footer="992" w:gutter="0"/>
          <w:pgNumType w:fmt="decimal"/>
          <w:cols w:space="425" w:num="1"/>
          <w:docGrid w:type="lines" w:linePitch="312" w:charSpace="0"/>
        </w:sectPr>
      </w:pPr>
    </w:p>
    <w:p w14:paraId="1D9426C4">
      <w:pPr>
        <w:pStyle w:val="2"/>
        <w:rPr>
          <w:rFonts w:hint="eastAsia"/>
          <w:lang w:val="en-US" w:eastAsia="zh-CN"/>
        </w:rPr>
      </w:pPr>
    </w:p>
    <w:p w14:paraId="418A1448">
      <w:pPr>
        <w:jc w:val="center"/>
        <w:rPr>
          <w:rFonts w:hint="eastAsia" w:ascii="方正小标宋简体" w:hAnsi="方正小标宋简体" w:eastAsia="方正小标宋简体" w:cs="方正小标宋简体"/>
          <w:b w:val="0"/>
          <w:bCs w:val="0"/>
          <w:sz w:val="44"/>
          <w:szCs w:val="44"/>
          <w:highlight w:val="none"/>
          <w:u w:val="none"/>
          <w:lang w:val="en-US" w:eastAsia="zh-CN"/>
        </w:rPr>
      </w:pPr>
      <w:r>
        <w:rPr>
          <w:rFonts w:hint="eastAsia" w:ascii="方正小标宋简体" w:hAnsi="方正小标宋简体" w:eastAsia="方正小标宋简体" w:cs="方正小标宋简体"/>
          <w:b w:val="0"/>
          <w:bCs w:val="0"/>
          <w:sz w:val="44"/>
          <w:szCs w:val="44"/>
          <w:highlight w:val="none"/>
          <w:u w:val="none"/>
          <w:lang w:val="en-US" w:eastAsia="zh-CN"/>
        </w:rPr>
        <w:t>目  录</w:t>
      </w:r>
    </w:p>
    <w:p w14:paraId="7D385446">
      <w:pPr>
        <w:pStyle w:val="9"/>
        <w:tabs>
          <w:tab w:val="right" w:leader="dot" w:pos="8306"/>
        </w:tabs>
        <w:rPr>
          <w:rFonts w:hint="eastAsia" w:ascii="仿宋_GB2312" w:hAnsi="仿宋_GB2312" w:eastAsia="仿宋_GB2312" w:cs="仿宋_GB2312"/>
          <w:b w:val="0"/>
          <w:bCs w:val="0"/>
          <w:sz w:val="32"/>
          <w:szCs w:val="32"/>
          <w:highlight w:val="none"/>
          <w:u w:val="none"/>
          <w:lang w:val="en-US" w:eastAsia="zh-CN"/>
        </w:rPr>
      </w:pPr>
    </w:p>
    <w:p w14:paraId="51DA2E21">
      <w:pPr>
        <w:pStyle w:val="9"/>
        <w:tabs>
          <w:tab w:val="right" w:leader="dot" w:pos="8306"/>
        </w:tabs>
      </w:pPr>
      <w:r>
        <w:rPr>
          <w:rFonts w:hint="eastAsia" w:ascii="仿宋_GB2312" w:hAnsi="仿宋_GB2312" w:eastAsia="仿宋_GB2312" w:cs="仿宋_GB2312"/>
          <w:b w:val="0"/>
          <w:bCs w:val="0"/>
          <w:sz w:val="32"/>
          <w:szCs w:val="32"/>
          <w:highlight w:val="none"/>
          <w:u w:val="none"/>
          <w:lang w:val="en-US" w:eastAsia="zh-CN"/>
        </w:rPr>
        <w:fldChar w:fldCharType="begin"/>
      </w:r>
      <w:r>
        <w:rPr>
          <w:rFonts w:hint="eastAsia" w:ascii="仿宋_GB2312" w:hAnsi="仿宋_GB2312" w:eastAsia="仿宋_GB2312" w:cs="仿宋_GB2312"/>
          <w:b w:val="0"/>
          <w:bCs w:val="0"/>
          <w:sz w:val="32"/>
          <w:szCs w:val="32"/>
          <w:highlight w:val="none"/>
          <w:u w:val="none"/>
          <w:lang w:val="en-US" w:eastAsia="zh-CN"/>
        </w:rPr>
        <w:instrText xml:space="preserve">TOC \o "1-2" \h \u </w:instrText>
      </w:r>
      <w:r>
        <w:rPr>
          <w:rFonts w:hint="eastAsia" w:ascii="仿宋_GB2312" w:hAnsi="仿宋_GB2312" w:eastAsia="仿宋_GB2312" w:cs="仿宋_GB2312"/>
          <w:b w:val="0"/>
          <w:bCs w:val="0"/>
          <w:sz w:val="32"/>
          <w:szCs w:val="32"/>
          <w:highlight w:val="none"/>
          <w:u w:val="none"/>
          <w:lang w:val="en-US" w:eastAsia="zh-CN"/>
        </w:rPr>
        <w:fldChar w:fldCharType="separate"/>
      </w:r>
      <w:r>
        <w:rPr>
          <w:rFonts w:hint="eastAsia" w:ascii="仿宋_GB2312" w:hAnsi="仿宋_GB2312" w:eastAsia="仿宋_GB2312" w:cs="仿宋_GB2312"/>
          <w:bCs w:val="0"/>
          <w:szCs w:val="32"/>
          <w:highlight w:val="none"/>
          <w:u w:val="none"/>
          <w:lang w:val="en-US" w:eastAsia="zh-CN"/>
        </w:rPr>
        <w:fldChar w:fldCharType="begin"/>
      </w:r>
      <w:r>
        <w:rPr>
          <w:rFonts w:hint="eastAsia" w:ascii="仿宋_GB2312" w:hAnsi="仿宋_GB2312" w:eastAsia="仿宋_GB2312" w:cs="仿宋_GB2312"/>
          <w:bCs w:val="0"/>
          <w:szCs w:val="32"/>
          <w:highlight w:val="none"/>
          <w:lang w:val="en-US" w:eastAsia="zh-CN"/>
        </w:rPr>
        <w:instrText xml:space="preserve"> HYPERLINK \l _Toc32470 </w:instrText>
      </w:r>
      <w:r>
        <w:rPr>
          <w:rFonts w:hint="eastAsia" w:ascii="仿宋_GB2312" w:hAnsi="仿宋_GB2312" w:eastAsia="仿宋_GB2312" w:cs="仿宋_GB2312"/>
          <w:bCs w:val="0"/>
          <w:szCs w:val="32"/>
          <w:highlight w:val="none"/>
          <w:lang w:val="en-US" w:eastAsia="zh-CN"/>
        </w:rPr>
        <w:fldChar w:fldCharType="separate"/>
      </w:r>
      <w:r>
        <w:rPr>
          <w:rFonts w:hint="eastAsia"/>
        </w:rPr>
        <w:t>一、</w:t>
      </w:r>
      <w:r>
        <w:rPr>
          <w:rFonts w:hint="eastAsia"/>
          <w:lang w:eastAsia="zh-CN"/>
        </w:rPr>
        <w:t>过去五年回顾及主要成效</w:t>
      </w:r>
      <w:r>
        <w:tab/>
      </w:r>
      <w:r>
        <w:fldChar w:fldCharType="begin"/>
      </w:r>
      <w:r>
        <w:instrText xml:space="preserve"> PAGEREF _Toc32470 \h </w:instrText>
      </w:r>
      <w:r>
        <w:fldChar w:fldCharType="separate"/>
      </w:r>
      <w:r>
        <w:t>1</w:t>
      </w:r>
      <w:r>
        <w:fldChar w:fldCharType="end"/>
      </w:r>
      <w:r>
        <w:rPr>
          <w:rFonts w:hint="eastAsia" w:ascii="仿宋_GB2312" w:hAnsi="仿宋_GB2312" w:eastAsia="仿宋_GB2312" w:cs="仿宋_GB2312"/>
          <w:bCs w:val="0"/>
          <w:szCs w:val="32"/>
          <w:highlight w:val="none"/>
          <w:u w:val="none"/>
          <w:lang w:val="en-US" w:eastAsia="zh-CN"/>
        </w:rPr>
        <w:fldChar w:fldCharType="end"/>
      </w:r>
    </w:p>
    <w:p w14:paraId="751AC6EE">
      <w:pPr>
        <w:pStyle w:val="9"/>
        <w:tabs>
          <w:tab w:val="right" w:leader="dot" w:pos="8306"/>
        </w:tabs>
      </w:pPr>
      <w:r>
        <w:rPr>
          <w:rFonts w:hint="eastAsia" w:ascii="仿宋_GB2312" w:hAnsi="仿宋_GB2312" w:eastAsia="仿宋_GB2312" w:cs="仿宋_GB2312"/>
          <w:bCs w:val="0"/>
          <w:szCs w:val="32"/>
          <w:highlight w:val="none"/>
          <w:u w:val="none"/>
          <w:lang w:val="en-US" w:eastAsia="zh-CN"/>
        </w:rPr>
        <w:fldChar w:fldCharType="begin"/>
      </w:r>
      <w:r>
        <w:rPr>
          <w:rFonts w:hint="eastAsia" w:ascii="仿宋_GB2312" w:hAnsi="仿宋_GB2312" w:eastAsia="仿宋_GB2312" w:cs="仿宋_GB2312"/>
          <w:bCs w:val="0"/>
          <w:szCs w:val="32"/>
          <w:highlight w:val="none"/>
          <w:lang w:val="en-US" w:eastAsia="zh-CN"/>
        </w:rPr>
        <w:instrText xml:space="preserve"> HYPERLINK \l _Toc20157 </w:instrText>
      </w:r>
      <w:r>
        <w:rPr>
          <w:rFonts w:hint="eastAsia" w:ascii="仿宋_GB2312" w:hAnsi="仿宋_GB2312" w:eastAsia="仿宋_GB2312" w:cs="仿宋_GB2312"/>
          <w:bCs w:val="0"/>
          <w:szCs w:val="32"/>
          <w:highlight w:val="none"/>
          <w:lang w:val="en-US" w:eastAsia="zh-CN"/>
        </w:rPr>
        <w:fldChar w:fldCharType="separate"/>
      </w:r>
      <w:r>
        <w:rPr>
          <w:rFonts w:hint="eastAsia"/>
          <w:lang w:eastAsia="zh-CN"/>
        </w:rPr>
        <w:t>二、“十五五”时期的形势分析</w:t>
      </w:r>
      <w:r>
        <w:tab/>
      </w:r>
      <w:r>
        <w:fldChar w:fldCharType="begin"/>
      </w:r>
      <w:r>
        <w:instrText xml:space="preserve"> PAGEREF _Toc20157 \h </w:instrText>
      </w:r>
      <w:r>
        <w:fldChar w:fldCharType="separate"/>
      </w:r>
      <w:r>
        <w:t>9</w:t>
      </w:r>
      <w:r>
        <w:fldChar w:fldCharType="end"/>
      </w:r>
      <w:r>
        <w:rPr>
          <w:rFonts w:hint="eastAsia" w:ascii="仿宋_GB2312" w:hAnsi="仿宋_GB2312" w:eastAsia="仿宋_GB2312" w:cs="仿宋_GB2312"/>
          <w:bCs w:val="0"/>
          <w:szCs w:val="32"/>
          <w:highlight w:val="none"/>
          <w:u w:val="none"/>
          <w:lang w:val="en-US" w:eastAsia="zh-CN"/>
        </w:rPr>
        <w:fldChar w:fldCharType="end"/>
      </w:r>
    </w:p>
    <w:p w14:paraId="350D2E3C">
      <w:pPr>
        <w:pStyle w:val="10"/>
        <w:tabs>
          <w:tab w:val="right" w:leader="dot" w:pos="8306"/>
        </w:tabs>
      </w:pPr>
      <w:r>
        <w:rPr>
          <w:rFonts w:hint="eastAsia" w:ascii="仿宋_GB2312" w:hAnsi="仿宋_GB2312" w:eastAsia="仿宋_GB2312" w:cs="仿宋_GB2312"/>
          <w:bCs w:val="0"/>
          <w:szCs w:val="32"/>
          <w:highlight w:val="none"/>
          <w:u w:val="none"/>
          <w:lang w:val="en-US" w:eastAsia="zh-CN"/>
        </w:rPr>
        <w:fldChar w:fldCharType="begin"/>
      </w:r>
      <w:r>
        <w:rPr>
          <w:rFonts w:hint="eastAsia" w:ascii="仿宋_GB2312" w:hAnsi="仿宋_GB2312" w:eastAsia="仿宋_GB2312" w:cs="仿宋_GB2312"/>
          <w:bCs w:val="0"/>
          <w:szCs w:val="32"/>
          <w:highlight w:val="none"/>
          <w:lang w:val="en-US" w:eastAsia="zh-CN"/>
        </w:rPr>
        <w:instrText xml:space="preserve"> HYPERLINK \l _Toc31345 </w:instrText>
      </w:r>
      <w:r>
        <w:rPr>
          <w:rFonts w:hint="eastAsia" w:ascii="仿宋_GB2312" w:hAnsi="仿宋_GB2312" w:eastAsia="仿宋_GB2312" w:cs="仿宋_GB2312"/>
          <w:bCs w:val="0"/>
          <w:szCs w:val="32"/>
          <w:highlight w:val="none"/>
          <w:lang w:val="en-US" w:eastAsia="zh-CN"/>
        </w:rPr>
        <w:fldChar w:fldCharType="separate"/>
      </w:r>
      <w:r>
        <w:rPr>
          <w:rFonts w:hint="eastAsia"/>
          <w:lang w:eastAsia="zh-CN"/>
        </w:rPr>
        <w:t>（</w:t>
      </w:r>
      <w:r>
        <w:rPr>
          <w:rFonts w:hint="eastAsia"/>
          <w:lang w:val="en-US" w:eastAsia="zh-CN"/>
        </w:rPr>
        <w:t>一</w:t>
      </w:r>
      <w:r>
        <w:rPr>
          <w:rFonts w:hint="eastAsia"/>
          <w:lang w:eastAsia="zh-CN"/>
        </w:rPr>
        <w:t>）</w:t>
      </w:r>
      <w:r>
        <w:rPr>
          <w:rFonts w:hint="eastAsia"/>
        </w:rPr>
        <w:t>“十五五”时期的历史地位</w:t>
      </w:r>
      <w:r>
        <w:tab/>
      </w:r>
      <w:r>
        <w:fldChar w:fldCharType="begin"/>
      </w:r>
      <w:r>
        <w:instrText xml:space="preserve"> PAGEREF _Toc31345 \h </w:instrText>
      </w:r>
      <w:r>
        <w:fldChar w:fldCharType="separate"/>
      </w:r>
      <w:r>
        <w:t>9</w:t>
      </w:r>
      <w:r>
        <w:fldChar w:fldCharType="end"/>
      </w:r>
      <w:r>
        <w:rPr>
          <w:rFonts w:hint="eastAsia" w:ascii="仿宋_GB2312" w:hAnsi="仿宋_GB2312" w:eastAsia="仿宋_GB2312" w:cs="仿宋_GB2312"/>
          <w:bCs w:val="0"/>
          <w:szCs w:val="32"/>
          <w:highlight w:val="none"/>
          <w:u w:val="none"/>
          <w:lang w:val="en-US" w:eastAsia="zh-CN"/>
        </w:rPr>
        <w:fldChar w:fldCharType="end"/>
      </w:r>
    </w:p>
    <w:p w14:paraId="1D52A8BB">
      <w:pPr>
        <w:pStyle w:val="10"/>
        <w:tabs>
          <w:tab w:val="right" w:leader="dot" w:pos="8306"/>
        </w:tabs>
      </w:pPr>
      <w:r>
        <w:rPr>
          <w:rFonts w:hint="eastAsia" w:ascii="仿宋_GB2312" w:hAnsi="仿宋_GB2312" w:eastAsia="仿宋_GB2312" w:cs="仿宋_GB2312"/>
          <w:bCs w:val="0"/>
          <w:szCs w:val="32"/>
          <w:highlight w:val="none"/>
          <w:u w:val="none"/>
          <w:lang w:val="en-US" w:eastAsia="zh-CN"/>
        </w:rPr>
        <w:fldChar w:fldCharType="begin"/>
      </w:r>
      <w:r>
        <w:rPr>
          <w:rFonts w:hint="eastAsia" w:ascii="仿宋_GB2312" w:hAnsi="仿宋_GB2312" w:eastAsia="仿宋_GB2312" w:cs="仿宋_GB2312"/>
          <w:bCs w:val="0"/>
          <w:szCs w:val="32"/>
          <w:highlight w:val="none"/>
          <w:lang w:val="en-US" w:eastAsia="zh-CN"/>
        </w:rPr>
        <w:instrText xml:space="preserve"> HYPERLINK \l _Toc27081 </w:instrText>
      </w:r>
      <w:r>
        <w:rPr>
          <w:rFonts w:hint="eastAsia" w:ascii="仿宋_GB2312" w:hAnsi="仿宋_GB2312" w:eastAsia="仿宋_GB2312" w:cs="仿宋_GB2312"/>
          <w:bCs w:val="0"/>
          <w:szCs w:val="32"/>
          <w:highlight w:val="none"/>
          <w:lang w:val="en-US" w:eastAsia="zh-CN"/>
        </w:rPr>
        <w:fldChar w:fldCharType="separate"/>
      </w:r>
      <w:r>
        <w:rPr>
          <w:rFonts w:hint="eastAsia" w:ascii="Arial" w:hAnsi="Arial"/>
          <w:lang w:eastAsia="zh-CN"/>
        </w:rPr>
        <w:t>（</w:t>
      </w:r>
      <w:r>
        <w:rPr>
          <w:rFonts w:hint="eastAsia" w:ascii="Arial" w:hAnsi="Arial"/>
          <w:lang w:val="en-US" w:eastAsia="zh-CN"/>
        </w:rPr>
        <w:t>二</w:t>
      </w:r>
      <w:r>
        <w:rPr>
          <w:rFonts w:hint="eastAsia" w:ascii="Arial" w:hAnsi="Arial"/>
          <w:lang w:eastAsia="zh-CN"/>
        </w:rPr>
        <w:t>）“十五五”时期的发展环境</w:t>
      </w:r>
      <w:r>
        <w:tab/>
      </w:r>
      <w:r>
        <w:fldChar w:fldCharType="begin"/>
      </w:r>
      <w:r>
        <w:instrText xml:space="preserve"> PAGEREF _Toc27081 \h </w:instrText>
      </w:r>
      <w:r>
        <w:fldChar w:fldCharType="separate"/>
      </w:r>
      <w:r>
        <w:t>10</w:t>
      </w:r>
      <w:r>
        <w:fldChar w:fldCharType="end"/>
      </w:r>
      <w:r>
        <w:rPr>
          <w:rFonts w:hint="eastAsia" w:ascii="仿宋_GB2312" w:hAnsi="仿宋_GB2312" w:eastAsia="仿宋_GB2312" w:cs="仿宋_GB2312"/>
          <w:bCs w:val="0"/>
          <w:szCs w:val="32"/>
          <w:highlight w:val="none"/>
          <w:u w:val="none"/>
          <w:lang w:val="en-US" w:eastAsia="zh-CN"/>
        </w:rPr>
        <w:fldChar w:fldCharType="end"/>
      </w:r>
    </w:p>
    <w:p w14:paraId="75027977">
      <w:pPr>
        <w:pStyle w:val="9"/>
        <w:tabs>
          <w:tab w:val="right" w:leader="dot" w:pos="8306"/>
        </w:tabs>
      </w:pPr>
      <w:r>
        <w:rPr>
          <w:rFonts w:hint="eastAsia" w:ascii="仿宋_GB2312" w:hAnsi="仿宋_GB2312" w:eastAsia="仿宋_GB2312" w:cs="仿宋_GB2312"/>
          <w:bCs w:val="0"/>
          <w:szCs w:val="32"/>
          <w:highlight w:val="none"/>
          <w:u w:val="none"/>
          <w:lang w:val="en-US" w:eastAsia="zh-CN"/>
        </w:rPr>
        <w:fldChar w:fldCharType="begin"/>
      </w:r>
      <w:r>
        <w:rPr>
          <w:rFonts w:hint="eastAsia" w:ascii="仿宋_GB2312" w:hAnsi="仿宋_GB2312" w:eastAsia="仿宋_GB2312" w:cs="仿宋_GB2312"/>
          <w:bCs w:val="0"/>
          <w:szCs w:val="32"/>
          <w:highlight w:val="none"/>
          <w:lang w:val="en-US" w:eastAsia="zh-CN"/>
        </w:rPr>
        <w:instrText xml:space="preserve"> HYPERLINK \l _Toc13912 </w:instrText>
      </w:r>
      <w:r>
        <w:rPr>
          <w:rFonts w:hint="eastAsia" w:ascii="仿宋_GB2312" w:hAnsi="仿宋_GB2312" w:eastAsia="仿宋_GB2312" w:cs="仿宋_GB2312"/>
          <w:bCs w:val="0"/>
          <w:szCs w:val="32"/>
          <w:highlight w:val="none"/>
          <w:lang w:val="en-US" w:eastAsia="zh-CN"/>
        </w:rPr>
        <w:fldChar w:fldCharType="separate"/>
      </w:r>
      <w:r>
        <w:rPr>
          <w:rFonts w:hint="eastAsia"/>
        </w:rPr>
        <w:t>三、“十五五”时期</w:t>
      </w:r>
      <w:r>
        <w:rPr>
          <w:rFonts w:hint="eastAsia"/>
          <w:lang w:val="en-US" w:eastAsia="zh-CN"/>
        </w:rPr>
        <w:t>全市供销系统改革发展的总体要求</w:t>
      </w:r>
      <w:r>
        <w:tab/>
      </w:r>
      <w:r>
        <w:fldChar w:fldCharType="begin"/>
      </w:r>
      <w:r>
        <w:instrText xml:space="preserve"> PAGEREF _Toc13912 \h </w:instrText>
      </w:r>
      <w:r>
        <w:fldChar w:fldCharType="separate"/>
      </w:r>
      <w:r>
        <w:t>13</w:t>
      </w:r>
      <w:r>
        <w:fldChar w:fldCharType="end"/>
      </w:r>
      <w:r>
        <w:rPr>
          <w:rFonts w:hint="eastAsia" w:ascii="仿宋_GB2312" w:hAnsi="仿宋_GB2312" w:eastAsia="仿宋_GB2312" w:cs="仿宋_GB2312"/>
          <w:bCs w:val="0"/>
          <w:szCs w:val="32"/>
          <w:highlight w:val="none"/>
          <w:u w:val="none"/>
          <w:lang w:val="en-US" w:eastAsia="zh-CN"/>
        </w:rPr>
        <w:fldChar w:fldCharType="end"/>
      </w:r>
    </w:p>
    <w:p w14:paraId="54A73B29">
      <w:pPr>
        <w:pStyle w:val="10"/>
        <w:tabs>
          <w:tab w:val="right" w:leader="dot" w:pos="8306"/>
        </w:tabs>
      </w:pPr>
      <w:r>
        <w:rPr>
          <w:rFonts w:hint="eastAsia" w:ascii="仿宋_GB2312" w:hAnsi="仿宋_GB2312" w:eastAsia="仿宋_GB2312" w:cs="仿宋_GB2312"/>
          <w:bCs w:val="0"/>
          <w:szCs w:val="32"/>
          <w:highlight w:val="none"/>
          <w:u w:val="none"/>
          <w:lang w:val="en-US" w:eastAsia="zh-CN"/>
        </w:rPr>
        <w:fldChar w:fldCharType="begin"/>
      </w:r>
      <w:r>
        <w:rPr>
          <w:rFonts w:hint="eastAsia" w:ascii="仿宋_GB2312" w:hAnsi="仿宋_GB2312" w:eastAsia="仿宋_GB2312" w:cs="仿宋_GB2312"/>
          <w:bCs w:val="0"/>
          <w:szCs w:val="32"/>
          <w:highlight w:val="none"/>
          <w:lang w:val="en-US" w:eastAsia="zh-CN"/>
        </w:rPr>
        <w:instrText xml:space="preserve"> HYPERLINK \l _Toc27419 </w:instrText>
      </w:r>
      <w:r>
        <w:rPr>
          <w:rFonts w:hint="eastAsia" w:ascii="仿宋_GB2312" w:hAnsi="仿宋_GB2312" w:eastAsia="仿宋_GB2312" w:cs="仿宋_GB2312"/>
          <w:bCs w:val="0"/>
          <w:szCs w:val="32"/>
          <w:highlight w:val="none"/>
          <w:lang w:val="en-US" w:eastAsia="zh-CN"/>
        </w:rPr>
        <w:fldChar w:fldCharType="separate"/>
      </w:r>
      <w:r>
        <w:rPr>
          <w:rFonts w:hint="eastAsia"/>
        </w:rPr>
        <w:t>（一）指导思想</w:t>
      </w:r>
      <w:r>
        <w:tab/>
      </w:r>
      <w:r>
        <w:fldChar w:fldCharType="begin"/>
      </w:r>
      <w:r>
        <w:instrText xml:space="preserve"> PAGEREF _Toc27419 \h </w:instrText>
      </w:r>
      <w:r>
        <w:fldChar w:fldCharType="separate"/>
      </w:r>
      <w:r>
        <w:t>13</w:t>
      </w:r>
      <w:r>
        <w:fldChar w:fldCharType="end"/>
      </w:r>
      <w:r>
        <w:rPr>
          <w:rFonts w:hint="eastAsia" w:ascii="仿宋_GB2312" w:hAnsi="仿宋_GB2312" w:eastAsia="仿宋_GB2312" w:cs="仿宋_GB2312"/>
          <w:bCs w:val="0"/>
          <w:szCs w:val="32"/>
          <w:highlight w:val="none"/>
          <w:u w:val="none"/>
          <w:lang w:val="en-US" w:eastAsia="zh-CN"/>
        </w:rPr>
        <w:fldChar w:fldCharType="end"/>
      </w:r>
    </w:p>
    <w:p w14:paraId="38EA03AB">
      <w:pPr>
        <w:pStyle w:val="10"/>
        <w:tabs>
          <w:tab w:val="right" w:leader="dot" w:pos="8306"/>
        </w:tabs>
      </w:pPr>
      <w:r>
        <w:rPr>
          <w:rFonts w:hint="eastAsia" w:ascii="仿宋_GB2312" w:hAnsi="仿宋_GB2312" w:eastAsia="仿宋_GB2312" w:cs="仿宋_GB2312"/>
          <w:bCs w:val="0"/>
          <w:szCs w:val="32"/>
          <w:highlight w:val="none"/>
          <w:u w:val="none"/>
          <w:lang w:val="en-US" w:eastAsia="zh-CN"/>
        </w:rPr>
        <w:fldChar w:fldCharType="begin"/>
      </w:r>
      <w:r>
        <w:rPr>
          <w:rFonts w:hint="eastAsia" w:ascii="仿宋_GB2312" w:hAnsi="仿宋_GB2312" w:eastAsia="仿宋_GB2312" w:cs="仿宋_GB2312"/>
          <w:bCs w:val="0"/>
          <w:szCs w:val="32"/>
          <w:highlight w:val="none"/>
          <w:lang w:val="en-US" w:eastAsia="zh-CN"/>
        </w:rPr>
        <w:instrText xml:space="preserve"> HYPERLINK \l _Toc32492 </w:instrText>
      </w:r>
      <w:r>
        <w:rPr>
          <w:rFonts w:hint="eastAsia" w:ascii="仿宋_GB2312" w:hAnsi="仿宋_GB2312" w:eastAsia="仿宋_GB2312" w:cs="仿宋_GB2312"/>
          <w:bCs w:val="0"/>
          <w:szCs w:val="32"/>
          <w:highlight w:val="none"/>
          <w:lang w:val="en-US" w:eastAsia="zh-CN"/>
        </w:rPr>
        <w:fldChar w:fldCharType="separate"/>
      </w:r>
      <w:r>
        <w:rPr>
          <w:rFonts w:hint="eastAsia"/>
        </w:rPr>
        <w:t>（二）基本原则</w:t>
      </w:r>
      <w:r>
        <w:tab/>
      </w:r>
      <w:r>
        <w:fldChar w:fldCharType="begin"/>
      </w:r>
      <w:r>
        <w:instrText xml:space="preserve"> PAGEREF _Toc32492 \h </w:instrText>
      </w:r>
      <w:r>
        <w:fldChar w:fldCharType="separate"/>
      </w:r>
      <w:r>
        <w:t>14</w:t>
      </w:r>
      <w:r>
        <w:fldChar w:fldCharType="end"/>
      </w:r>
      <w:r>
        <w:rPr>
          <w:rFonts w:hint="eastAsia" w:ascii="仿宋_GB2312" w:hAnsi="仿宋_GB2312" w:eastAsia="仿宋_GB2312" w:cs="仿宋_GB2312"/>
          <w:bCs w:val="0"/>
          <w:szCs w:val="32"/>
          <w:highlight w:val="none"/>
          <w:u w:val="none"/>
          <w:lang w:val="en-US" w:eastAsia="zh-CN"/>
        </w:rPr>
        <w:fldChar w:fldCharType="end"/>
      </w:r>
    </w:p>
    <w:p w14:paraId="2AC0EE9F">
      <w:pPr>
        <w:pStyle w:val="10"/>
        <w:tabs>
          <w:tab w:val="right" w:leader="dot" w:pos="8306"/>
        </w:tabs>
      </w:pPr>
      <w:r>
        <w:rPr>
          <w:rFonts w:hint="eastAsia" w:ascii="仿宋_GB2312" w:hAnsi="仿宋_GB2312" w:eastAsia="仿宋_GB2312" w:cs="仿宋_GB2312"/>
          <w:bCs w:val="0"/>
          <w:szCs w:val="32"/>
          <w:highlight w:val="none"/>
          <w:u w:val="none"/>
          <w:lang w:val="en-US" w:eastAsia="zh-CN"/>
        </w:rPr>
        <w:fldChar w:fldCharType="begin"/>
      </w:r>
      <w:r>
        <w:rPr>
          <w:rFonts w:hint="eastAsia" w:ascii="仿宋_GB2312" w:hAnsi="仿宋_GB2312" w:eastAsia="仿宋_GB2312" w:cs="仿宋_GB2312"/>
          <w:bCs w:val="0"/>
          <w:szCs w:val="32"/>
          <w:highlight w:val="none"/>
          <w:lang w:val="en-US" w:eastAsia="zh-CN"/>
        </w:rPr>
        <w:instrText xml:space="preserve"> HYPERLINK \l _Toc26841 </w:instrText>
      </w:r>
      <w:r>
        <w:rPr>
          <w:rFonts w:hint="eastAsia" w:ascii="仿宋_GB2312" w:hAnsi="仿宋_GB2312" w:eastAsia="仿宋_GB2312" w:cs="仿宋_GB2312"/>
          <w:bCs w:val="0"/>
          <w:szCs w:val="32"/>
          <w:highlight w:val="none"/>
          <w:lang w:val="en-US" w:eastAsia="zh-CN"/>
        </w:rPr>
        <w:fldChar w:fldCharType="separate"/>
      </w:r>
      <w:r>
        <w:rPr>
          <w:rFonts w:hint="eastAsia" w:ascii="Arial" w:hAnsi="Arial"/>
          <w:lang w:eastAsia="zh-CN"/>
        </w:rPr>
        <w:t>（三）奋斗目标</w:t>
      </w:r>
      <w:r>
        <w:tab/>
      </w:r>
      <w:r>
        <w:fldChar w:fldCharType="begin"/>
      </w:r>
      <w:r>
        <w:instrText xml:space="preserve"> PAGEREF _Toc26841 \h </w:instrText>
      </w:r>
      <w:r>
        <w:fldChar w:fldCharType="separate"/>
      </w:r>
      <w:r>
        <w:t>15</w:t>
      </w:r>
      <w:r>
        <w:fldChar w:fldCharType="end"/>
      </w:r>
      <w:r>
        <w:rPr>
          <w:rFonts w:hint="eastAsia" w:ascii="仿宋_GB2312" w:hAnsi="仿宋_GB2312" w:eastAsia="仿宋_GB2312" w:cs="仿宋_GB2312"/>
          <w:bCs w:val="0"/>
          <w:szCs w:val="32"/>
          <w:highlight w:val="none"/>
          <w:u w:val="none"/>
          <w:lang w:val="en-US" w:eastAsia="zh-CN"/>
        </w:rPr>
        <w:fldChar w:fldCharType="end"/>
      </w:r>
    </w:p>
    <w:p w14:paraId="716B5E03">
      <w:pPr>
        <w:pStyle w:val="9"/>
        <w:tabs>
          <w:tab w:val="right" w:leader="dot" w:pos="8306"/>
        </w:tabs>
        <w:rPr>
          <w:rFonts w:hint="eastAsia" w:ascii="仿宋_GB2312" w:hAnsi="仿宋_GB2312" w:eastAsia="仿宋_GB2312" w:cs="仿宋_GB2312"/>
        </w:rPr>
      </w:pPr>
      <w:r>
        <w:rPr>
          <w:rFonts w:hint="eastAsia" w:ascii="仿宋_GB2312" w:hAnsi="仿宋_GB2312" w:eastAsia="仿宋_GB2312" w:cs="仿宋_GB2312"/>
          <w:bCs w:val="0"/>
          <w:szCs w:val="32"/>
          <w:highlight w:val="none"/>
          <w:u w:val="none"/>
          <w:lang w:val="en-US" w:eastAsia="zh-CN"/>
        </w:rPr>
        <w:fldChar w:fldCharType="begin"/>
      </w:r>
      <w:r>
        <w:rPr>
          <w:rFonts w:hint="eastAsia" w:ascii="仿宋_GB2312" w:hAnsi="仿宋_GB2312" w:eastAsia="仿宋_GB2312" w:cs="仿宋_GB2312"/>
          <w:bCs w:val="0"/>
          <w:szCs w:val="32"/>
          <w:highlight w:val="none"/>
          <w:lang w:val="en-US" w:eastAsia="zh-CN"/>
        </w:rPr>
        <w:instrText xml:space="preserve"> HYPERLINK \l _Toc18406 </w:instrText>
      </w:r>
      <w:r>
        <w:rPr>
          <w:rFonts w:hint="eastAsia" w:ascii="仿宋_GB2312" w:hAnsi="仿宋_GB2312" w:eastAsia="仿宋_GB2312" w:cs="仿宋_GB2312"/>
          <w:bCs w:val="0"/>
          <w:szCs w:val="32"/>
          <w:highlight w:val="none"/>
          <w:lang w:val="en-US" w:eastAsia="zh-CN"/>
        </w:rPr>
        <w:fldChar w:fldCharType="separate"/>
      </w:r>
      <w:r>
        <w:rPr>
          <w:rFonts w:hint="eastAsia" w:ascii="仿宋_GB2312" w:hAnsi="仿宋_GB2312" w:eastAsia="仿宋_GB2312" w:cs="仿宋_GB2312"/>
          <w:bCs w:val="0"/>
          <w:szCs w:val="32"/>
          <w:highlight w:val="none"/>
          <w:lang w:val="en-US" w:eastAsia="zh-CN"/>
        </w:rPr>
        <w:t>四、坚持提质增效、向新向优，提升供销经济“含金量”</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_Toc18406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18</w:t>
      </w:r>
      <w:r>
        <w:rPr>
          <w:rFonts w:hint="eastAsia" w:ascii="仿宋_GB2312" w:hAnsi="仿宋_GB2312" w:eastAsia="仿宋_GB2312" w:cs="仿宋_GB2312"/>
        </w:rPr>
        <w:fldChar w:fldCharType="end"/>
      </w:r>
      <w:r>
        <w:rPr>
          <w:rFonts w:hint="eastAsia" w:ascii="仿宋_GB2312" w:hAnsi="仿宋_GB2312" w:eastAsia="仿宋_GB2312" w:cs="仿宋_GB2312"/>
          <w:bCs w:val="0"/>
          <w:szCs w:val="32"/>
          <w:highlight w:val="none"/>
          <w:u w:val="none"/>
          <w:lang w:val="en-US" w:eastAsia="zh-CN"/>
        </w:rPr>
        <w:fldChar w:fldCharType="end"/>
      </w:r>
    </w:p>
    <w:p w14:paraId="6967E14E">
      <w:pPr>
        <w:pStyle w:val="10"/>
        <w:tabs>
          <w:tab w:val="right" w:leader="dot" w:pos="8306"/>
        </w:tabs>
      </w:pPr>
      <w:r>
        <w:rPr>
          <w:rFonts w:hint="eastAsia" w:ascii="仿宋_GB2312" w:hAnsi="仿宋_GB2312" w:eastAsia="仿宋_GB2312" w:cs="仿宋_GB2312"/>
          <w:bCs w:val="0"/>
          <w:szCs w:val="32"/>
          <w:highlight w:val="none"/>
          <w:u w:val="none"/>
          <w:lang w:val="en-US" w:eastAsia="zh-CN"/>
        </w:rPr>
        <w:fldChar w:fldCharType="begin"/>
      </w:r>
      <w:r>
        <w:rPr>
          <w:rFonts w:hint="eastAsia" w:ascii="仿宋_GB2312" w:hAnsi="仿宋_GB2312" w:eastAsia="仿宋_GB2312" w:cs="仿宋_GB2312"/>
          <w:bCs w:val="0"/>
          <w:szCs w:val="32"/>
          <w:highlight w:val="none"/>
          <w:lang w:val="en-US" w:eastAsia="zh-CN"/>
        </w:rPr>
        <w:instrText xml:space="preserve"> HYPERLINK \l _Toc28018 </w:instrText>
      </w:r>
      <w:r>
        <w:rPr>
          <w:rFonts w:hint="eastAsia" w:ascii="仿宋_GB2312" w:hAnsi="仿宋_GB2312" w:eastAsia="仿宋_GB2312" w:cs="仿宋_GB2312"/>
          <w:bCs w:val="0"/>
          <w:szCs w:val="32"/>
          <w:highlight w:val="none"/>
          <w:lang w:val="en-US" w:eastAsia="zh-CN"/>
        </w:rPr>
        <w:fldChar w:fldCharType="separate"/>
      </w:r>
      <w:r>
        <w:rPr>
          <w:rFonts w:hint="eastAsia" w:ascii="Arial" w:hAnsi="Arial"/>
          <w:lang w:val="en-US" w:eastAsia="zh-CN"/>
        </w:rPr>
        <w:t>（一）任务目标</w:t>
      </w:r>
      <w:r>
        <w:tab/>
      </w:r>
      <w:r>
        <w:fldChar w:fldCharType="begin"/>
      </w:r>
      <w:r>
        <w:instrText xml:space="preserve"> PAGEREF _Toc28018 \h </w:instrText>
      </w:r>
      <w:r>
        <w:fldChar w:fldCharType="separate"/>
      </w:r>
      <w:r>
        <w:t>18</w:t>
      </w:r>
      <w:r>
        <w:fldChar w:fldCharType="end"/>
      </w:r>
      <w:r>
        <w:rPr>
          <w:rFonts w:hint="eastAsia" w:ascii="仿宋_GB2312" w:hAnsi="仿宋_GB2312" w:eastAsia="仿宋_GB2312" w:cs="仿宋_GB2312"/>
          <w:bCs w:val="0"/>
          <w:szCs w:val="32"/>
          <w:highlight w:val="none"/>
          <w:u w:val="none"/>
          <w:lang w:val="en-US" w:eastAsia="zh-CN"/>
        </w:rPr>
        <w:fldChar w:fldCharType="end"/>
      </w:r>
    </w:p>
    <w:p w14:paraId="76448ADE">
      <w:pPr>
        <w:pStyle w:val="10"/>
        <w:tabs>
          <w:tab w:val="right" w:leader="dot" w:pos="8306"/>
        </w:tabs>
      </w:pPr>
      <w:r>
        <w:rPr>
          <w:rFonts w:hint="eastAsia" w:ascii="仿宋_GB2312" w:hAnsi="仿宋_GB2312" w:eastAsia="仿宋_GB2312" w:cs="仿宋_GB2312"/>
          <w:bCs w:val="0"/>
          <w:szCs w:val="32"/>
          <w:highlight w:val="none"/>
          <w:u w:val="none"/>
          <w:lang w:val="en-US" w:eastAsia="zh-CN"/>
        </w:rPr>
        <w:fldChar w:fldCharType="begin"/>
      </w:r>
      <w:r>
        <w:rPr>
          <w:rFonts w:hint="eastAsia" w:ascii="仿宋_GB2312" w:hAnsi="仿宋_GB2312" w:eastAsia="仿宋_GB2312" w:cs="仿宋_GB2312"/>
          <w:bCs w:val="0"/>
          <w:szCs w:val="32"/>
          <w:highlight w:val="none"/>
          <w:lang w:val="en-US" w:eastAsia="zh-CN"/>
        </w:rPr>
        <w:instrText xml:space="preserve"> HYPERLINK \l _Toc10536 </w:instrText>
      </w:r>
      <w:r>
        <w:rPr>
          <w:rFonts w:hint="eastAsia" w:ascii="仿宋_GB2312" w:hAnsi="仿宋_GB2312" w:eastAsia="仿宋_GB2312" w:cs="仿宋_GB2312"/>
          <w:bCs w:val="0"/>
          <w:szCs w:val="32"/>
          <w:highlight w:val="none"/>
          <w:lang w:val="en-US" w:eastAsia="zh-CN"/>
        </w:rPr>
        <w:fldChar w:fldCharType="separate"/>
      </w:r>
      <w:r>
        <w:rPr>
          <w:rFonts w:hint="eastAsia" w:ascii="Arial" w:hAnsi="Arial"/>
          <w:lang w:val="en-US" w:eastAsia="zh-CN"/>
        </w:rPr>
        <w:t>（二）分年度计划</w:t>
      </w:r>
      <w:r>
        <w:tab/>
      </w:r>
      <w:r>
        <w:fldChar w:fldCharType="begin"/>
      </w:r>
      <w:r>
        <w:instrText xml:space="preserve"> PAGEREF _Toc10536 \h </w:instrText>
      </w:r>
      <w:r>
        <w:fldChar w:fldCharType="separate"/>
      </w:r>
      <w:r>
        <w:t>18</w:t>
      </w:r>
      <w:r>
        <w:fldChar w:fldCharType="end"/>
      </w:r>
      <w:r>
        <w:rPr>
          <w:rFonts w:hint="eastAsia" w:ascii="仿宋_GB2312" w:hAnsi="仿宋_GB2312" w:eastAsia="仿宋_GB2312" w:cs="仿宋_GB2312"/>
          <w:bCs w:val="0"/>
          <w:szCs w:val="32"/>
          <w:highlight w:val="none"/>
          <w:u w:val="none"/>
          <w:lang w:val="en-US" w:eastAsia="zh-CN"/>
        </w:rPr>
        <w:fldChar w:fldCharType="end"/>
      </w:r>
    </w:p>
    <w:p w14:paraId="3E1F2BC1">
      <w:pPr>
        <w:pStyle w:val="10"/>
        <w:tabs>
          <w:tab w:val="right" w:leader="dot" w:pos="8306"/>
        </w:tabs>
      </w:pPr>
      <w:r>
        <w:rPr>
          <w:rFonts w:hint="eastAsia" w:ascii="仿宋_GB2312" w:hAnsi="仿宋_GB2312" w:eastAsia="仿宋_GB2312" w:cs="仿宋_GB2312"/>
          <w:bCs w:val="0"/>
          <w:szCs w:val="32"/>
          <w:highlight w:val="none"/>
          <w:u w:val="none"/>
          <w:lang w:val="en-US" w:eastAsia="zh-CN"/>
        </w:rPr>
        <w:fldChar w:fldCharType="begin"/>
      </w:r>
      <w:r>
        <w:rPr>
          <w:rFonts w:hint="eastAsia" w:ascii="仿宋_GB2312" w:hAnsi="仿宋_GB2312" w:eastAsia="仿宋_GB2312" w:cs="仿宋_GB2312"/>
          <w:bCs w:val="0"/>
          <w:szCs w:val="32"/>
          <w:highlight w:val="none"/>
          <w:lang w:val="en-US" w:eastAsia="zh-CN"/>
        </w:rPr>
        <w:instrText xml:space="preserve"> HYPERLINK \l _Toc21418 </w:instrText>
      </w:r>
      <w:r>
        <w:rPr>
          <w:rFonts w:hint="eastAsia" w:ascii="仿宋_GB2312" w:hAnsi="仿宋_GB2312" w:eastAsia="仿宋_GB2312" w:cs="仿宋_GB2312"/>
          <w:bCs w:val="0"/>
          <w:szCs w:val="32"/>
          <w:highlight w:val="none"/>
          <w:lang w:val="en-US" w:eastAsia="zh-CN"/>
        </w:rPr>
        <w:fldChar w:fldCharType="separate"/>
      </w:r>
      <w:r>
        <w:rPr>
          <w:rFonts w:hint="eastAsia" w:ascii="Arial" w:hAnsi="Arial"/>
          <w:lang w:val="en-US" w:eastAsia="zh-CN"/>
        </w:rPr>
        <w:t>（三）具体措施</w:t>
      </w:r>
      <w:r>
        <w:tab/>
      </w:r>
      <w:r>
        <w:fldChar w:fldCharType="begin"/>
      </w:r>
      <w:r>
        <w:instrText xml:space="preserve"> PAGEREF _Toc21418 \h </w:instrText>
      </w:r>
      <w:r>
        <w:fldChar w:fldCharType="separate"/>
      </w:r>
      <w:r>
        <w:t>19</w:t>
      </w:r>
      <w:r>
        <w:fldChar w:fldCharType="end"/>
      </w:r>
      <w:r>
        <w:rPr>
          <w:rFonts w:hint="eastAsia" w:ascii="仿宋_GB2312" w:hAnsi="仿宋_GB2312" w:eastAsia="仿宋_GB2312" w:cs="仿宋_GB2312"/>
          <w:bCs w:val="0"/>
          <w:szCs w:val="32"/>
          <w:highlight w:val="none"/>
          <w:u w:val="none"/>
          <w:lang w:val="en-US" w:eastAsia="zh-CN"/>
        </w:rPr>
        <w:fldChar w:fldCharType="end"/>
      </w:r>
    </w:p>
    <w:p w14:paraId="142B289C">
      <w:pPr>
        <w:pStyle w:val="9"/>
        <w:tabs>
          <w:tab w:val="right" w:leader="dot" w:pos="8306"/>
        </w:tabs>
      </w:pPr>
      <w:r>
        <w:rPr>
          <w:rFonts w:hint="eastAsia" w:ascii="仿宋_GB2312" w:hAnsi="仿宋_GB2312" w:eastAsia="仿宋_GB2312" w:cs="仿宋_GB2312"/>
          <w:bCs w:val="0"/>
          <w:szCs w:val="32"/>
          <w:highlight w:val="none"/>
          <w:u w:val="none"/>
          <w:lang w:val="en-US" w:eastAsia="zh-CN"/>
        </w:rPr>
        <w:fldChar w:fldCharType="begin"/>
      </w:r>
      <w:r>
        <w:rPr>
          <w:rFonts w:hint="eastAsia" w:ascii="仿宋_GB2312" w:hAnsi="仿宋_GB2312" w:eastAsia="仿宋_GB2312" w:cs="仿宋_GB2312"/>
          <w:bCs w:val="0"/>
          <w:szCs w:val="32"/>
          <w:highlight w:val="none"/>
          <w:lang w:val="en-US" w:eastAsia="zh-CN"/>
        </w:rPr>
        <w:instrText xml:space="preserve"> HYPERLINK \l _Toc21284 </w:instrText>
      </w:r>
      <w:r>
        <w:rPr>
          <w:rFonts w:hint="eastAsia" w:ascii="仿宋_GB2312" w:hAnsi="仿宋_GB2312" w:eastAsia="仿宋_GB2312" w:cs="仿宋_GB2312"/>
          <w:bCs w:val="0"/>
          <w:szCs w:val="32"/>
          <w:highlight w:val="none"/>
          <w:lang w:val="en-US" w:eastAsia="zh-CN"/>
        </w:rPr>
        <w:fldChar w:fldCharType="separate"/>
      </w:r>
      <w:r>
        <w:rPr>
          <w:rFonts w:hint="eastAsia"/>
          <w:lang w:val="en-US" w:eastAsia="zh-CN"/>
        </w:rPr>
        <w:t>五、加快服务建强国内市场，提升供销扩内需“贡献率”</w:t>
      </w:r>
      <w:r>
        <w:tab/>
      </w:r>
      <w:r>
        <w:fldChar w:fldCharType="begin"/>
      </w:r>
      <w:r>
        <w:instrText xml:space="preserve"> PAGEREF _Toc21284 \h </w:instrText>
      </w:r>
      <w:r>
        <w:fldChar w:fldCharType="separate"/>
      </w:r>
      <w:r>
        <w:t>22</w:t>
      </w:r>
      <w:r>
        <w:fldChar w:fldCharType="end"/>
      </w:r>
      <w:r>
        <w:rPr>
          <w:rFonts w:hint="eastAsia" w:ascii="仿宋_GB2312" w:hAnsi="仿宋_GB2312" w:eastAsia="仿宋_GB2312" w:cs="仿宋_GB2312"/>
          <w:bCs w:val="0"/>
          <w:szCs w:val="32"/>
          <w:highlight w:val="none"/>
          <w:u w:val="none"/>
          <w:lang w:val="en-US" w:eastAsia="zh-CN"/>
        </w:rPr>
        <w:fldChar w:fldCharType="end"/>
      </w:r>
    </w:p>
    <w:p w14:paraId="6B241760">
      <w:pPr>
        <w:pStyle w:val="10"/>
        <w:tabs>
          <w:tab w:val="right" w:leader="dot" w:pos="8306"/>
        </w:tabs>
      </w:pPr>
      <w:r>
        <w:rPr>
          <w:rFonts w:hint="eastAsia" w:ascii="仿宋_GB2312" w:hAnsi="仿宋_GB2312" w:eastAsia="仿宋_GB2312" w:cs="仿宋_GB2312"/>
          <w:bCs w:val="0"/>
          <w:szCs w:val="32"/>
          <w:highlight w:val="none"/>
          <w:u w:val="none"/>
          <w:lang w:val="en-US" w:eastAsia="zh-CN"/>
        </w:rPr>
        <w:fldChar w:fldCharType="begin"/>
      </w:r>
      <w:r>
        <w:rPr>
          <w:rFonts w:hint="eastAsia" w:ascii="仿宋_GB2312" w:hAnsi="仿宋_GB2312" w:eastAsia="仿宋_GB2312" w:cs="仿宋_GB2312"/>
          <w:bCs w:val="0"/>
          <w:szCs w:val="32"/>
          <w:highlight w:val="none"/>
          <w:lang w:val="en-US" w:eastAsia="zh-CN"/>
        </w:rPr>
        <w:instrText xml:space="preserve"> HYPERLINK \l _Toc20454 </w:instrText>
      </w:r>
      <w:r>
        <w:rPr>
          <w:rFonts w:hint="eastAsia" w:ascii="仿宋_GB2312" w:hAnsi="仿宋_GB2312" w:eastAsia="仿宋_GB2312" w:cs="仿宋_GB2312"/>
          <w:bCs w:val="0"/>
          <w:szCs w:val="32"/>
          <w:highlight w:val="none"/>
          <w:lang w:val="en-US" w:eastAsia="zh-CN"/>
        </w:rPr>
        <w:fldChar w:fldCharType="separate"/>
      </w:r>
      <w:r>
        <w:rPr>
          <w:rFonts w:hint="eastAsia" w:ascii="Arial" w:hAnsi="Arial"/>
          <w:lang w:eastAsia="zh-CN"/>
        </w:rPr>
        <w:t>（</w:t>
      </w:r>
      <w:r>
        <w:rPr>
          <w:rFonts w:hint="eastAsia" w:ascii="Arial" w:hAnsi="Arial"/>
          <w:lang w:val="en-US" w:eastAsia="zh-CN"/>
        </w:rPr>
        <w:t>一</w:t>
      </w:r>
      <w:r>
        <w:rPr>
          <w:rFonts w:hint="eastAsia" w:ascii="Arial" w:hAnsi="Arial"/>
          <w:lang w:eastAsia="zh-CN"/>
        </w:rPr>
        <w:t>）任务目标</w:t>
      </w:r>
      <w:r>
        <w:tab/>
      </w:r>
      <w:r>
        <w:fldChar w:fldCharType="begin"/>
      </w:r>
      <w:r>
        <w:instrText xml:space="preserve"> PAGEREF _Toc20454 \h </w:instrText>
      </w:r>
      <w:r>
        <w:fldChar w:fldCharType="separate"/>
      </w:r>
      <w:r>
        <w:t>22</w:t>
      </w:r>
      <w:r>
        <w:fldChar w:fldCharType="end"/>
      </w:r>
      <w:r>
        <w:rPr>
          <w:rFonts w:hint="eastAsia" w:ascii="仿宋_GB2312" w:hAnsi="仿宋_GB2312" w:eastAsia="仿宋_GB2312" w:cs="仿宋_GB2312"/>
          <w:bCs w:val="0"/>
          <w:szCs w:val="32"/>
          <w:highlight w:val="none"/>
          <w:u w:val="none"/>
          <w:lang w:val="en-US" w:eastAsia="zh-CN"/>
        </w:rPr>
        <w:fldChar w:fldCharType="end"/>
      </w:r>
    </w:p>
    <w:p w14:paraId="010468E1">
      <w:pPr>
        <w:pStyle w:val="10"/>
        <w:tabs>
          <w:tab w:val="right" w:leader="dot" w:pos="8306"/>
        </w:tabs>
      </w:pPr>
      <w:r>
        <w:rPr>
          <w:rFonts w:hint="eastAsia" w:ascii="仿宋_GB2312" w:hAnsi="仿宋_GB2312" w:eastAsia="仿宋_GB2312" w:cs="仿宋_GB2312"/>
          <w:bCs w:val="0"/>
          <w:szCs w:val="32"/>
          <w:highlight w:val="none"/>
          <w:u w:val="none"/>
          <w:lang w:val="en-US" w:eastAsia="zh-CN"/>
        </w:rPr>
        <w:fldChar w:fldCharType="begin"/>
      </w:r>
      <w:r>
        <w:rPr>
          <w:rFonts w:hint="eastAsia" w:ascii="仿宋_GB2312" w:hAnsi="仿宋_GB2312" w:eastAsia="仿宋_GB2312" w:cs="仿宋_GB2312"/>
          <w:bCs w:val="0"/>
          <w:szCs w:val="32"/>
          <w:highlight w:val="none"/>
          <w:lang w:val="en-US" w:eastAsia="zh-CN"/>
        </w:rPr>
        <w:instrText xml:space="preserve"> HYPERLINK \l _Toc16256 </w:instrText>
      </w:r>
      <w:r>
        <w:rPr>
          <w:rFonts w:hint="eastAsia" w:ascii="仿宋_GB2312" w:hAnsi="仿宋_GB2312" w:eastAsia="仿宋_GB2312" w:cs="仿宋_GB2312"/>
          <w:bCs w:val="0"/>
          <w:szCs w:val="32"/>
          <w:highlight w:val="none"/>
          <w:lang w:val="en-US" w:eastAsia="zh-CN"/>
        </w:rPr>
        <w:fldChar w:fldCharType="separate"/>
      </w:r>
      <w:r>
        <w:rPr>
          <w:rFonts w:hint="eastAsia" w:ascii="Arial" w:hAnsi="Arial"/>
          <w:lang w:val="en-US" w:eastAsia="zh-CN"/>
        </w:rPr>
        <w:t>（二）分年度计划</w:t>
      </w:r>
      <w:r>
        <w:tab/>
      </w:r>
      <w:r>
        <w:fldChar w:fldCharType="begin"/>
      </w:r>
      <w:r>
        <w:instrText xml:space="preserve"> PAGEREF _Toc16256 \h </w:instrText>
      </w:r>
      <w:r>
        <w:fldChar w:fldCharType="separate"/>
      </w:r>
      <w:r>
        <w:t>23</w:t>
      </w:r>
      <w:r>
        <w:fldChar w:fldCharType="end"/>
      </w:r>
      <w:r>
        <w:rPr>
          <w:rFonts w:hint="eastAsia" w:ascii="仿宋_GB2312" w:hAnsi="仿宋_GB2312" w:eastAsia="仿宋_GB2312" w:cs="仿宋_GB2312"/>
          <w:bCs w:val="0"/>
          <w:szCs w:val="32"/>
          <w:highlight w:val="none"/>
          <w:u w:val="none"/>
          <w:lang w:val="en-US" w:eastAsia="zh-CN"/>
        </w:rPr>
        <w:fldChar w:fldCharType="end"/>
      </w:r>
    </w:p>
    <w:p w14:paraId="335E9606">
      <w:pPr>
        <w:pStyle w:val="10"/>
        <w:tabs>
          <w:tab w:val="right" w:leader="dot" w:pos="8306"/>
        </w:tabs>
      </w:pPr>
      <w:r>
        <w:rPr>
          <w:rFonts w:hint="eastAsia" w:ascii="仿宋_GB2312" w:hAnsi="仿宋_GB2312" w:eastAsia="仿宋_GB2312" w:cs="仿宋_GB2312"/>
          <w:bCs w:val="0"/>
          <w:szCs w:val="32"/>
          <w:highlight w:val="none"/>
          <w:u w:val="none"/>
          <w:lang w:val="en-US" w:eastAsia="zh-CN"/>
        </w:rPr>
        <w:fldChar w:fldCharType="begin"/>
      </w:r>
      <w:r>
        <w:rPr>
          <w:rFonts w:hint="eastAsia" w:ascii="仿宋_GB2312" w:hAnsi="仿宋_GB2312" w:eastAsia="仿宋_GB2312" w:cs="仿宋_GB2312"/>
          <w:bCs w:val="0"/>
          <w:szCs w:val="32"/>
          <w:highlight w:val="none"/>
          <w:lang w:val="en-US" w:eastAsia="zh-CN"/>
        </w:rPr>
        <w:instrText xml:space="preserve"> HYPERLINK \l _Toc30906 </w:instrText>
      </w:r>
      <w:r>
        <w:rPr>
          <w:rFonts w:hint="eastAsia" w:ascii="仿宋_GB2312" w:hAnsi="仿宋_GB2312" w:eastAsia="仿宋_GB2312" w:cs="仿宋_GB2312"/>
          <w:bCs w:val="0"/>
          <w:szCs w:val="32"/>
          <w:highlight w:val="none"/>
          <w:lang w:val="en-US" w:eastAsia="zh-CN"/>
        </w:rPr>
        <w:fldChar w:fldCharType="separate"/>
      </w:r>
      <w:r>
        <w:rPr>
          <w:rFonts w:hint="eastAsia" w:ascii="Arial" w:hAnsi="Arial"/>
          <w:lang w:val="en-US" w:eastAsia="zh-CN"/>
        </w:rPr>
        <w:t>（三）具体措施</w:t>
      </w:r>
      <w:r>
        <w:tab/>
      </w:r>
      <w:r>
        <w:fldChar w:fldCharType="begin"/>
      </w:r>
      <w:r>
        <w:instrText xml:space="preserve"> PAGEREF _Toc30906 \h </w:instrText>
      </w:r>
      <w:r>
        <w:fldChar w:fldCharType="separate"/>
      </w:r>
      <w:r>
        <w:t>23</w:t>
      </w:r>
      <w:r>
        <w:fldChar w:fldCharType="end"/>
      </w:r>
      <w:r>
        <w:rPr>
          <w:rFonts w:hint="eastAsia" w:ascii="仿宋_GB2312" w:hAnsi="仿宋_GB2312" w:eastAsia="仿宋_GB2312" w:cs="仿宋_GB2312"/>
          <w:bCs w:val="0"/>
          <w:szCs w:val="32"/>
          <w:highlight w:val="none"/>
          <w:u w:val="none"/>
          <w:lang w:val="en-US" w:eastAsia="zh-CN"/>
        </w:rPr>
        <w:fldChar w:fldCharType="end"/>
      </w:r>
    </w:p>
    <w:p w14:paraId="25445D69">
      <w:pPr>
        <w:pStyle w:val="9"/>
        <w:tabs>
          <w:tab w:val="right" w:leader="dot" w:pos="8306"/>
        </w:tabs>
      </w:pPr>
      <w:r>
        <w:rPr>
          <w:rFonts w:hint="eastAsia" w:ascii="仿宋_GB2312" w:hAnsi="仿宋_GB2312" w:eastAsia="仿宋_GB2312" w:cs="仿宋_GB2312"/>
          <w:bCs w:val="0"/>
          <w:szCs w:val="32"/>
          <w:highlight w:val="none"/>
          <w:u w:val="none"/>
          <w:lang w:val="en-US" w:eastAsia="zh-CN"/>
        </w:rPr>
        <w:fldChar w:fldCharType="begin"/>
      </w:r>
      <w:r>
        <w:rPr>
          <w:rFonts w:hint="eastAsia" w:ascii="仿宋_GB2312" w:hAnsi="仿宋_GB2312" w:eastAsia="仿宋_GB2312" w:cs="仿宋_GB2312"/>
          <w:bCs w:val="0"/>
          <w:szCs w:val="32"/>
          <w:highlight w:val="none"/>
          <w:lang w:val="en-US" w:eastAsia="zh-CN"/>
        </w:rPr>
        <w:instrText xml:space="preserve"> HYPERLINK \l _Toc18405 </w:instrText>
      </w:r>
      <w:r>
        <w:rPr>
          <w:rFonts w:hint="eastAsia" w:ascii="仿宋_GB2312" w:hAnsi="仿宋_GB2312" w:eastAsia="仿宋_GB2312" w:cs="仿宋_GB2312"/>
          <w:bCs w:val="0"/>
          <w:szCs w:val="32"/>
          <w:highlight w:val="none"/>
          <w:lang w:val="en-US" w:eastAsia="zh-CN"/>
        </w:rPr>
        <w:fldChar w:fldCharType="separate"/>
      </w:r>
      <w:r>
        <w:rPr>
          <w:rFonts w:hint="eastAsia"/>
          <w:lang w:val="en-US" w:eastAsia="zh-CN"/>
        </w:rPr>
        <w:t>六、加快建成“一市一品”“四大商（链）”，提升产业链“增值率”</w:t>
      </w:r>
      <w:r>
        <w:tab/>
      </w:r>
      <w:r>
        <w:fldChar w:fldCharType="begin"/>
      </w:r>
      <w:r>
        <w:instrText xml:space="preserve"> PAGEREF _Toc18405 \h </w:instrText>
      </w:r>
      <w:r>
        <w:fldChar w:fldCharType="separate"/>
      </w:r>
      <w:r>
        <w:t>27</w:t>
      </w:r>
      <w:r>
        <w:fldChar w:fldCharType="end"/>
      </w:r>
      <w:r>
        <w:rPr>
          <w:rFonts w:hint="eastAsia" w:ascii="仿宋_GB2312" w:hAnsi="仿宋_GB2312" w:eastAsia="仿宋_GB2312" w:cs="仿宋_GB2312"/>
          <w:bCs w:val="0"/>
          <w:szCs w:val="32"/>
          <w:highlight w:val="none"/>
          <w:u w:val="none"/>
          <w:lang w:val="en-US" w:eastAsia="zh-CN"/>
        </w:rPr>
        <w:fldChar w:fldCharType="end"/>
      </w:r>
    </w:p>
    <w:p w14:paraId="6B140B67">
      <w:pPr>
        <w:pStyle w:val="10"/>
        <w:tabs>
          <w:tab w:val="right" w:leader="dot" w:pos="8306"/>
        </w:tabs>
      </w:pPr>
      <w:r>
        <w:rPr>
          <w:rFonts w:hint="eastAsia" w:ascii="仿宋_GB2312" w:hAnsi="仿宋_GB2312" w:eastAsia="仿宋_GB2312" w:cs="仿宋_GB2312"/>
          <w:bCs w:val="0"/>
          <w:szCs w:val="32"/>
          <w:highlight w:val="none"/>
          <w:u w:val="none"/>
          <w:lang w:val="en-US" w:eastAsia="zh-CN"/>
        </w:rPr>
        <w:fldChar w:fldCharType="begin"/>
      </w:r>
      <w:r>
        <w:rPr>
          <w:rFonts w:hint="eastAsia" w:ascii="仿宋_GB2312" w:hAnsi="仿宋_GB2312" w:eastAsia="仿宋_GB2312" w:cs="仿宋_GB2312"/>
          <w:bCs w:val="0"/>
          <w:szCs w:val="32"/>
          <w:highlight w:val="none"/>
          <w:lang w:val="en-US" w:eastAsia="zh-CN"/>
        </w:rPr>
        <w:instrText xml:space="preserve"> HYPERLINK \l _Toc28941 </w:instrText>
      </w:r>
      <w:r>
        <w:rPr>
          <w:rFonts w:hint="eastAsia" w:ascii="仿宋_GB2312" w:hAnsi="仿宋_GB2312" w:eastAsia="仿宋_GB2312" w:cs="仿宋_GB2312"/>
          <w:bCs w:val="0"/>
          <w:szCs w:val="32"/>
          <w:highlight w:val="none"/>
          <w:lang w:val="en-US" w:eastAsia="zh-CN"/>
        </w:rPr>
        <w:fldChar w:fldCharType="separate"/>
      </w:r>
      <w:r>
        <w:rPr>
          <w:rFonts w:hint="eastAsia" w:ascii="Arial" w:hAnsi="Arial"/>
          <w:lang w:val="en-US" w:eastAsia="zh-CN"/>
        </w:rPr>
        <w:t>（一）任务目标</w:t>
      </w:r>
      <w:r>
        <w:tab/>
      </w:r>
      <w:r>
        <w:fldChar w:fldCharType="begin"/>
      </w:r>
      <w:r>
        <w:instrText xml:space="preserve"> PAGEREF _Toc28941 \h </w:instrText>
      </w:r>
      <w:r>
        <w:fldChar w:fldCharType="separate"/>
      </w:r>
      <w:r>
        <w:t>27</w:t>
      </w:r>
      <w:r>
        <w:fldChar w:fldCharType="end"/>
      </w:r>
      <w:r>
        <w:rPr>
          <w:rFonts w:hint="eastAsia" w:ascii="仿宋_GB2312" w:hAnsi="仿宋_GB2312" w:eastAsia="仿宋_GB2312" w:cs="仿宋_GB2312"/>
          <w:bCs w:val="0"/>
          <w:szCs w:val="32"/>
          <w:highlight w:val="none"/>
          <w:u w:val="none"/>
          <w:lang w:val="en-US" w:eastAsia="zh-CN"/>
        </w:rPr>
        <w:fldChar w:fldCharType="end"/>
      </w:r>
    </w:p>
    <w:p w14:paraId="71B75EBB">
      <w:pPr>
        <w:pStyle w:val="10"/>
        <w:tabs>
          <w:tab w:val="right" w:leader="dot" w:pos="8306"/>
        </w:tabs>
      </w:pPr>
      <w:r>
        <w:rPr>
          <w:rFonts w:hint="eastAsia" w:ascii="仿宋_GB2312" w:hAnsi="仿宋_GB2312" w:eastAsia="仿宋_GB2312" w:cs="仿宋_GB2312"/>
          <w:bCs w:val="0"/>
          <w:szCs w:val="32"/>
          <w:highlight w:val="none"/>
          <w:u w:val="none"/>
          <w:lang w:val="en-US" w:eastAsia="zh-CN"/>
        </w:rPr>
        <w:fldChar w:fldCharType="begin"/>
      </w:r>
      <w:r>
        <w:rPr>
          <w:rFonts w:hint="eastAsia" w:ascii="仿宋_GB2312" w:hAnsi="仿宋_GB2312" w:eastAsia="仿宋_GB2312" w:cs="仿宋_GB2312"/>
          <w:bCs w:val="0"/>
          <w:szCs w:val="32"/>
          <w:highlight w:val="none"/>
          <w:lang w:val="en-US" w:eastAsia="zh-CN"/>
        </w:rPr>
        <w:instrText xml:space="preserve"> HYPERLINK \l _Toc23564 </w:instrText>
      </w:r>
      <w:r>
        <w:rPr>
          <w:rFonts w:hint="eastAsia" w:ascii="仿宋_GB2312" w:hAnsi="仿宋_GB2312" w:eastAsia="仿宋_GB2312" w:cs="仿宋_GB2312"/>
          <w:bCs w:val="0"/>
          <w:szCs w:val="32"/>
          <w:highlight w:val="none"/>
          <w:lang w:val="en-US" w:eastAsia="zh-CN"/>
        </w:rPr>
        <w:fldChar w:fldCharType="separate"/>
      </w:r>
      <w:r>
        <w:rPr>
          <w:rFonts w:hint="eastAsia" w:ascii="Arial" w:hAnsi="Arial"/>
          <w:lang w:val="en-US" w:eastAsia="zh-CN"/>
        </w:rPr>
        <w:t>（二）分年度计划</w:t>
      </w:r>
      <w:r>
        <w:tab/>
      </w:r>
      <w:r>
        <w:fldChar w:fldCharType="begin"/>
      </w:r>
      <w:r>
        <w:instrText xml:space="preserve"> PAGEREF _Toc23564 \h </w:instrText>
      </w:r>
      <w:r>
        <w:fldChar w:fldCharType="separate"/>
      </w:r>
      <w:r>
        <w:t>27</w:t>
      </w:r>
      <w:r>
        <w:fldChar w:fldCharType="end"/>
      </w:r>
      <w:r>
        <w:rPr>
          <w:rFonts w:hint="eastAsia" w:ascii="仿宋_GB2312" w:hAnsi="仿宋_GB2312" w:eastAsia="仿宋_GB2312" w:cs="仿宋_GB2312"/>
          <w:bCs w:val="0"/>
          <w:szCs w:val="32"/>
          <w:highlight w:val="none"/>
          <w:u w:val="none"/>
          <w:lang w:val="en-US" w:eastAsia="zh-CN"/>
        </w:rPr>
        <w:fldChar w:fldCharType="end"/>
      </w:r>
    </w:p>
    <w:p w14:paraId="6315F8AF">
      <w:pPr>
        <w:pStyle w:val="10"/>
        <w:tabs>
          <w:tab w:val="right" w:leader="dot" w:pos="8306"/>
        </w:tabs>
      </w:pPr>
      <w:r>
        <w:rPr>
          <w:rFonts w:hint="eastAsia" w:ascii="仿宋_GB2312" w:hAnsi="仿宋_GB2312" w:eastAsia="仿宋_GB2312" w:cs="仿宋_GB2312"/>
          <w:bCs w:val="0"/>
          <w:szCs w:val="32"/>
          <w:highlight w:val="none"/>
          <w:u w:val="none"/>
          <w:lang w:val="en-US" w:eastAsia="zh-CN"/>
        </w:rPr>
        <w:fldChar w:fldCharType="begin"/>
      </w:r>
      <w:r>
        <w:rPr>
          <w:rFonts w:hint="eastAsia" w:ascii="仿宋_GB2312" w:hAnsi="仿宋_GB2312" w:eastAsia="仿宋_GB2312" w:cs="仿宋_GB2312"/>
          <w:bCs w:val="0"/>
          <w:szCs w:val="32"/>
          <w:highlight w:val="none"/>
          <w:lang w:val="en-US" w:eastAsia="zh-CN"/>
        </w:rPr>
        <w:instrText xml:space="preserve"> HYPERLINK \l _Toc10326 </w:instrText>
      </w:r>
      <w:r>
        <w:rPr>
          <w:rFonts w:hint="eastAsia" w:ascii="仿宋_GB2312" w:hAnsi="仿宋_GB2312" w:eastAsia="仿宋_GB2312" w:cs="仿宋_GB2312"/>
          <w:bCs w:val="0"/>
          <w:szCs w:val="32"/>
          <w:highlight w:val="none"/>
          <w:lang w:val="en-US" w:eastAsia="zh-CN"/>
        </w:rPr>
        <w:fldChar w:fldCharType="separate"/>
      </w:r>
      <w:r>
        <w:rPr>
          <w:rFonts w:hint="eastAsia" w:ascii="Arial" w:hAnsi="Arial"/>
          <w:lang w:val="en-US" w:eastAsia="zh-CN"/>
        </w:rPr>
        <w:t>（三）主要举措</w:t>
      </w:r>
      <w:r>
        <w:tab/>
      </w:r>
      <w:r>
        <w:fldChar w:fldCharType="begin"/>
      </w:r>
      <w:r>
        <w:instrText xml:space="preserve"> PAGEREF _Toc10326 \h </w:instrText>
      </w:r>
      <w:r>
        <w:fldChar w:fldCharType="separate"/>
      </w:r>
      <w:r>
        <w:t>27</w:t>
      </w:r>
      <w:r>
        <w:fldChar w:fldCharType="end"/>
      </w:r>
      <w:r>
        <w:rPr>
          <w:rFonts w:hint="eastAsia" w:ascii="仿宋_GB2312" w:hAnsi="仿宋_GB2312" w:eastAsia="仿宋_GB2312" w:cs="仿宋_GB2312"/>
          <w:bCs w:val="0"/>
          <w:szCs w:val="32"/>
          <w:highlight w:val="none"/>
          <w:u w:val="none"/>
          <w:lang w:val="en-US" w:eastAsia="zh-CN"/>
        </w:rPr>
        <w:fldChar w:fldCharType="end"/>
      </w:r>
    </w:p>
    <w:p w14:paraId="0033D251">
      <w:pPr>
        <w:pStyle w:val="9"/>
        <w:tabs>
          <w:tab w:val="right" w:leader="dot" w:pos="8306"/>
        </w:tabs>
      </w:pPr>
      <w:r>
        <w:rPr>
          <w:rFonts w:hint="eastAsia" w:ascii="仿宋_GB2312" w:hAnsi="仿宋_GB2312" w:eastAsia="仿宋_GB2312" w:cs="仿宋_GB2312"/>
          <w:bCs w:val="0"/>
          <w:szCs w:val="32"/>
          <w:highlight w:val="none"/>
          <w:u w:val="none"/>
          <w:lang w:val="en-US" w:eastAsia="zh-CN"/>
        </w:rPr>
        <w:fldChar w:fldCharType="begin"/>
      </w:r>
      <w:r>
        <w:rPr>
          <w:rFonts w:hint="eastAsia" w:ascii="仿宋_GB2312" w:hAnsi="仿宋_GB2312" w:eastAsia="仿宋_GB2312" w:cs="仿宋_GB2312"/>
          <w:bCs w:val="0"/>
          <w:szCs w:val="32"/>
          <w:highlight w:val="none"/>
          <w:lang w:val="en-US" w:eastAsia="zh-CN"/>
        </w:rPr>
        <w:instrText xml:space="preserve"> HYPERLINK \l _Toc6547 </w:instrText>
      </w:r>
      <w:r>
        <w:rPr>
          <w:rFonts w:hint="eastAsia" w:ascii="仿宋_GB2312" w:hAnsi="仿宋_GB2312" w:eastAsia="仿宋_GB2312" w:cs="仿宋_GB2312"/>
          <w:bCs w:val="0"/>
          <w:szCs w:val="32"/>
          <w:highlight w:val="none"/>
          <w:lang w:val="en-US" w:eastAsia="zh-CN"/>
        </w:rPr>
        <w:fldChar w:fldCharType="separate"/>
      </w:r>
      <w:r>
        <w:rPr>
          <w:rFonts w:hint="eastAsia"/>
          <w:lang w:val="en-US" w:eastAsia="zh-CN"/>
        </w:rPr>
        <w:t>七、加快建成农资供应“主渠道”，提升供销市场“占有率”</w:t>
      </w:r>
      <w:r>
        <w:tab/>
      </w:r>
      <w:r>
        <w:fldChar w:fldCharType="begin"/>
      </w:r>
      <w:r>
        <w:instrText xml:space="preserve"> PAGEREF _Toc6547 \h </w:instrText>
      </w:r>
      <w:r>
        <w:fldChar w:fldCharType="separate"/>
      </w:r>
      <w:r>
        <w:t>31</w:t>
      </w:r>
      <w:r>
        <w:fldChar w:fldCharType="end"/>
      </w:r>
      <w:r>
        <w:rPr>
          <w:rFonts w:hint="eastAsia" w:ascii="仿宋_GB2312" w:hAnsi="仿宋_GB2312" w:eastAsia="仿宋_GB2312" w:cs="仿宋_GB2312"/>
          <w:bCs w:val="0"/>
          <w:szCs w:val="32"/>
          <w:highlight w:val="none"/>
          <w:u w:val="none"/>
          <w:lang w:val="en-US" w:eastAsia="zh-CN"/>
        </w:rPr>
        <w:fldChar w:fldCharType="end"/>
      </w:r>
    </w:p>
    <w:p w14:paraId="1FBF9A94">
      <w:pPr>
        <w:pStyle w:val="10"/>
        <w:tabs>
          <w:tab w:val="right" w:leader="dot" w:pos="8306"/>
        </w:tabs>
      </w:pPr>
      <w:r>
        <w:rPr>
          <w:rFonts w:hint="eastAsia" w:ascii="仿宋_GB2312" w:hAnsi="仿宋_GB2312" w:eastAsia="仿宋_GB2312" w:cs="仿宋_GB2312"/>
          <w:bCs w:val="0"/>
          <w:szCs w:val="32"/>
          <w:highlight w:val="none"/>
          <w:u w:val="none"/>
          <w:lang w:val="en-US" w:eastAsia="zh-CN"/>
        </w:rPr>
        <w:fldChar w:fldCharType="begin"/>
      </w:r>
      <w:r>
        <w:rPr>
          <w:rFonts w:hint="eastAsia" w:ascii="仿宋_GB2312" w:hAnsi="仿宋_GB2312" w:eastAsia="仿宋_GB2312" w:cs="仿宋_GB2312"/>
          <w:bCs w:val="0"/>
          <w:szCs w:val="32"/>
          <w:highlight w:val="none"/>
          <w:lang w:val="en-US" w:eastAsia="zh-CN"/>
        </w:rPr>
        <w:instrText xml:space="preserve"> HYPERLINK \l _Toc2490 </w:instrText>
      </w:r>
      <w:r>
        <w:rPr>
          <w:rFonts w:hint="eastAsia" w:ascii="仿宋_GB2312" w:hAnsi="仿宋_GB2312" w:eastAsia="仿宋_GB2312" w:cs="仿宋_GB2312"/>
          <w:bCs w:val="0"/>
          <w:szCs w:val="32"/>
          <w:highlight w:val="none"/>
          <w:lang w:val="en-US" w:eastAsia="zh-CN"/>
        </w:rPr>
        <w:fldChar w:fldCharType="separate"/>
      </w:r>
      <w:r>
        <w:rPr>
          <w:rFonts w:hint="eastAsia" w:ascii="Arial" w:hAnsi="Arial"/>
          <w:lang w:val="en-US" w:eastAsia="zh-CN"/>
        </w:rPr>
        <w:t>（一）任务目标</w:t>
      </w:r>
      <w:r>
        <w:tab/>
      </w:r>
      <w:r>
        <w:fldChar w:fldCharType="begin"/>
      </w:r>
      <w:r>
        <w:instrText xml:space="preserve"> PAGEREF _Toc2490 \h </w:instrText>
      </w:r>
      <w:r>
        <w:fldChar w:fldCharType="separate"/>
      </w:r>
      <w:r>
        <w:t>31</w:t>
      </w:r>
      <w:r>
        <w:fldChar w:fldCharType="end"/>
      </w:r>
      <w:r>
        <w:rPr>
          <w:rFonts w:hint="eastAsia" w:ascii="仿宋_GB2312" w:hAnsi="仿宋_GB2312" w:eastAsia="仿宋_GB2312" w:cs="仿宋_GB2312"/>
          <w:bCs w:val="0"/>
          <w:szCs w:val="32"/>
          <w:highlight w:val="none"/>
          <w:u w:val="none"/>
          <w:lang w:val="en-US" w:eastAsia="zh-CN"/>
        </w:rPr>
        <w:fldChar w:fldCharType="end"/>
      </w:r>
    </w:p>
    <w:p w14:paraId="06591577">
      <w:pPr>
        <w:pStyle w:val="10"/>
        <w:tabs>
          <w:tab w:val="right" w:leader="dot" w:pos="8306"/>
        </w:tabs>
      </w:pPr>
      <w:r>
        <w:rPr>
          <w:rFonts w:hint="eastAsia" w:ascii="仿宋_GB2312" w:hAnsi="仿宋_GB2312" w:eastAsia="仿宋_GB2312" w:cs="仿宋_GB2312"/>
          <w:bCs w:val="0"/>
          <w:szCs w:val="32"/>
          <w:highlight w:val="none"/>
          <w:u w:val="none"/>
          <w:lang w:val="en-US" w:eastAsia="zh-CN"/>
        </w:rPr>
        <w:fldChar w:fldCharType="begin"/>
      </w:r>
      <w:r>
        <w:rPr>
          <w:rFonts w:hint="eastAsia" w:ascii="仿宋_GB2312" w:hAnsi="仿宋_GB2312" w:eastAsia="仿宋_GB2312" w:cs="仿宋_GB2312"/>
          <w:bCs w:val="0"/>
          <w:szCs w:val="32"/>
          <w:highlight w:val="none"/>
          <w:lang w:val="en-US" w:eastAsia="zh-CN"/>
        </w:rPr>
        <w:instrText xml:space="preserve"> HYPERLINK \l _Toc23328 </w:instrText>
      </w:r>
      <w:r>
        <w:rPr>
          <w:rFonts w:hint="eastAsia" w:ascii="仿宋_GB2312" w:hAnsi="仿宋_GB2312" w:eastAsia="仿宋_GB2312" w:cs="仿宋_GB2312"/>
          <w:bCs w:val="0"/>
          <w:szCs w:val="32"/>
          <w:highlight w:val="none"/>
          <w:lang w:val="en-US" w:eastAsia="zh-CN"/>
        </w:rPr>
        <w:fldChar w:fldCharType="separate"/>
      </w:r>
      <w:r>
        <w:rPr>
          <w:rFonts w:hint="eastAsia" w:ascii="Arial" w:hAnsi="Arial"/>
          <w:lang w:val="en-US" w:eastAsia="zh-CN"/>
        </w:rPr>
        <w:t>（二）分年度计划</w:t>
      </w:r>
      <w:r>
        <w:tab/>
      </w:r>
      <w:r>
        <w:fldChar w:fldCharType="begin"/>
      </w:r>
      <w:r>
        <w:instrText xml:space="preserve"> PAGEREF _Toc23328 \h </w:instrText>
      </w:r>
      <w:r>
        <w:fldChar w:fldCharType="separate"/>
      </w:r>
      <w:r>
        <w:t>32</w:t>
      </w:r>
      <w:r>
        <w:fldChar w:fldCharType="end"/>
      </w:r>
      <w:r>
        <w:rPr>
          <w:rFonts w:hint="eastAsia" w:ascii="仿宋_GB2312" w:hAnsi="仿宋_GB2312" w:eastAsia="仿宋_GB2312" w:cs="仿宋_GB2312"/>
          <w:bCs w:val="0"/>
          <w:szCs w:val="32"/>
          <w:highlight w:val="none"/>
          <w:u w:val="none"/>
          <w:lang w:val="en-US" w:eastAsia="zh-CN"/>
        </w:rPr>
        <w:fldChar w:fldCharType="end"/>
      </w:r>
    </w:p>
    <w:p w14:paraId="315A866F">
      <w:pPr>
        <w:pStyle w:val="10"/>
        <w:tabs>
          <w:tab w:val="right" w:leader="dot" w:pos="8306"/>
        </w:tabs>
      </w:pPr>
      <w:r>
        <w:rPr>
          <w:rFonts w:hint="eastAsia" w:ascii="仿宋_GB2312" w:hAnsi="仿宋_GB2312" w:eastAsia="仿宋_GB2312" w:cs="仿宋_GB2312"/>
          <w:bCs w:val="0"/>
          <w:szCs w:val="32"/>
          <w:highlight w:val="none"/>
          <w:u w:val="none"/>
          <w:lang w:val="en-US" w:eastAsia="zh-CN"/>
        </w:rPr>
        <w:fldChar w:fldCharType="begin"/>
      </w:r>
      <w:r>
        <w:rPr>
          <w:rFonts w:hint="eastAsia" w:ascii="仿宋_GB2312" w:hAnsi="仿宋_GB2312" w:eastAsia="仿宋_GB2312" w:cs="仿宋_GB2312"/>
          <w:bCs w:val="0"/>
          <w:szCs w:val="32"/>
          <w:highlight w:val="none"/>
          <w:lang w:val="en-US" w:eastAsia="zh-CN"/>
        </w:rPr>
        <w:instrText xml:space="preserve"> HYPERLINK \l _Toc30990 </w:instrText>
      </w:r>
      <w:r>
        <w:rPr>
          <w:rFonts w:hint="eastAsia" w:ascii="仿宋_GB2312" w:hAnsi="仿宋_GB2312" w:eastAsia="仿宋_GB2312" w:cs="仿宋_GB2312"/>
          <w:bCs w:val="0"/>
          <w:szCs w:val="32"/>
          <w:highlight w:val="none"/>
          <w:lang w:val="en-US" w:eastAsia="zh-CN"/>
        </w:rPr>
        <w:fldChar w:fldCharType="separate"/>
      </w:r>
      <w:r>
        <w:rPr>
          <w:rFonts w:hint="eastAsia" w:ascii="Arial" w:hAnsi="Arial"/>
          <w:lang w:val="en-US" w:eastAsia="zh-CN"/>
        </w:rPr>
        <w:t>（三）具体措施</w:t>
      </w:r>
      <w:r>
        <w:tab/>
      </w:r>
      <w:r>
        <w:fldChar w:fldCharType="begin"/>
      </w:r>
      <w:r>
        <w:instrText xml:space="preserve"> PAGEREF _Toc30990 \h </w:instrText>
      </w:r>
      <w:r>
        <w:fldChar w:fldCharType="separate"/>
      </w:r>
      <w:r>
        <w:t>32</w:t>
      </w:r>
      <w:r>
        <w:fldChar w:fldCharType="end"/>
      </w:r>
      <w:r>
        <w:rPr>
          <w:rFonts w:hint="eastAsia" w:ascii="仿宋_GB2312" w:hAnsi="仿宋_GB2312" w:eastAsia="仿宋_GB2312" w:cs="仿宋_GB2312"/>
          <w:bCs w:val="0"/>
          <w:szCs w:val="32"/>
          <w:highlight w:val="none"/>
          <w:u w:val="none"/>
          <w:lang w:val="en-US" w:eastAsia="zh-CN"/>
        </w:rPr>
        <w:fldChar w:fldCharType="end"/>
      </w:r>
    </w:p>
    <w:p w14:paraId="737D877D">
      <w:pPr>
        <w:pStyle w:val="9"/>
        <w:tabs>
          <w:tab w:val="right" w:leader="dot" w:pos="8306"/>
        </w:tabs>
      </w:pPr>
      <w:r>
        <w:rPr>
          <w:rFonts w:hint="eastAsia" w:ascii="仿宋_GB2312" w:hAnsi="仿宋_GB2312" w:eastAsia="仿宋_GB2312" w:cs="仿宋_GB2312"/>
          <w:bCs w:val="0"/>
          <w:szCs w:val="32"/>
          <w:highlight w:val="none"/>
          <w:u w:val="none"/>
          <w:lang w:val="en-US" w:eastAsia="zh-CN"/>
        </w:rPr>
        <w:fldChar w:fldCharType="begin"/>
      </w:r>
      <w:r>
        <w:rPr>
          <w:rFonts w:hint="eastAsia" w:ascii="仿宋_GB2312" w:hAnsi="仿宋_GB2312" w:eastAsia="仿宋_GB2312" w:cs="仿宋_GB2312"/>
          <w:bCs w:val="0"/>
          <w:szCs w:val="32"/>
          <w:highlight w:val="none"/>
          <w:lang w:val="en-US" w:eastAsia="zh-CN"/>
        </w:rPr>
        <w:instrText xml:space="preserve"> HYPERLINK \l _Toc16850 </w:instrText>
      </w:r>
      <w:r>
        <w:rPr>
          <w:rFonts w:hint="eastAsia" w:ascii="仿宋_GB2312" w:hAnsi="仿宋_GB2312" w:eastAsia="仿宋_GB2312" w:cs="仿宋_GB2312"/>
          <w:bCs w:val="0"/>
          <w:szCs w:val="32"/>
          <w:highlight w:val="none"/>
          <w:lang w:val="en-US" w:eastAsia="zh-CN"/>
        </w:rPr>
        <w:fldChar w:fldCharType="separate"/>
      </w:r>
      <w:r>
        <w:rPr>
          <w:rFonts w:hint="eastAsia"/>
          <w:lang w:val="en-US" w:eastAsia="zh-CN"/>
        </w:rPr>
        <w:t>八、加快建成社会化服务“国家队”，提高供销土地“托管率”</w:t>
      </w:r>
      <w:r>
        <w:tab/>
      </w:r>
      <w:r>
        <w:fldChar w:fldCharType="begin"/>
      </w:r>
      <w:r>
        <w:instrText xml:space="preserve"> PAGEREF _Toc16850 \h </w:instrText>
      </w:r>
      <w:r>
        <w:fldChar w:fldCharType="separate"/>
      </w:r>
      <w:r>
        <w:t>35</w:t>
      </w:r>
      <w:r>
        <w:fldChar w:fldCharType="end"/>
      </w:r>
      <w:r>
        <w:rPr>
          <w:rFonts w:hint="eastAsia" w:ascii="仿宋_GB2312" w:hAnsi="仿宋_GB2312" w:eastAsia="仿宋_GB2312" w:cs="仿宋_GB2312"/>
          <w:bCs w:val="0"/>
          <w:szCs w:val="32"/>
          <w:highlight w:val="none"/>
          <w:u w:val="none"/>
          <w:lang w:val="en-US" w:eastAsia="zh-CN"/>
        </w:rPr>
        <w:fldChar w:fldCharType="end"/>
      </w:r>
    </w:p>
    <w:p w14:paraId="23B281DE">
      <w:pPr>
        <w:pStyle w:val="10"/>
        <w:tabs>
          <w:tab w:val="right" w:leader="dot" w:pos="8306"/>
        </w:tabs>
      </w:pPr>
      <w:r>
        <w:rPr>
          <w:rFonts w:hint="eastAsia" w:ascii="仿宋_GB2312" w:hAnsi="仿宋_GB2312" w:eastAsia="仿宋_GB2312" w:cs="仿宋_GB2312"/>
          <w:bCs w:val="0"/>
          <w:szCs w:val="32"/>
          <w:highlight w:val="none"/>
          <w:u w:val="none"/>
          <w:lang w:val="en-US" w:eastAsia="zh-CN"/>
        </w:rPr>
        <w:fldChar w:fldCharType="begin"/>
      </w:r>
      <w:r>
        <w:rPr>
          <w:rFonts w:hint="eastAsia" w:ascii="仿宋_GB2312" w:hAnsi="仿宋_GB2312" w:eastAsia="仿宋_GB2312" w:cs="仿宋_GB2312"/>
          <w:bCs w:val="0"/>
          <w:szCs w:val="32"/>
          <w:highlight w:val="none"/>
          <w:lang w:val="en-US" w:eastAsia="zh-CN"/>
        </w:rPr>
        <w:instrText xml:space="preserve"> HYPERLINK \l _Toc13587 </w:instrText>
      </w:r>
      <w:r>
        <w:rPr>
          <w:rFonts w:hint="eastAsia" w:ascii="仿宋_GB2312" w:hAnsi="仿宋_GB2312" w:eastAsia="仿宋_GB2312" w:cs="仿宋_GB2312"/>
          <w:bCs w:val="0"/>
          <w:szCs w:val="32"/>
          <w:highlight w:val="none"/>
          <w:lang w:val="en-US" w:eastAsia="zh-CN"/>
        </w:rPr>
        <w:fldChar w:fldCharType="separate"/>
      </w:r>
      <w:r>
        <w:rPr>
          <w:rFonts w:hint="eastAsia" w:ascii="Arial" w:hAnsi="Arial"/>
          <w:lang w:val="en-US" w:eastAsia="zh-CN"/>
        </w:rPr>
        <w:t>（一）任务目标</w:t>
      </w:r>
      <w:r>
        <w:tab/>
      </w:r>
      <w:r>
        <w:fldChar w:fldCharType="begin"/>
      </w:r>
      <w:r>
        <w:instrText xml:space="preserve"> PAGEREF _Toc13587 \h </w:instrText>
      </w:r>
      <w:r>
        <w:fldChar w:fldCharType="separate"/>
      </w:r>
      <w:r>
        <w:t>35</w:t>
      </w:r>
      <w:r>
        <w:fldChar w:fldCharType="end"/>
      </w:r>
      <w:r>
        <w:rPr>
          <w:rFonts w:hint="eastAsia" w:ascii="仿宋_GB2312" w:hAnsi="仿宋_GB2312" w:eastAsia="仿宋_GB2312" w:cs="仿宋_GB2312"/>
          <w:bCs w:val="0"/>
          <w:szCs w:val="32"/>
          <w:highlight w:val="none"/>
          <w:u w:val="none"/>
          <w:lang w:val="en-US" w:eastAsia="zh-CN"/>
        </w:rPr>
        <w:fldChar w:fldCharType="end"/>
      </w:r>
    </w:p>
    <w:p w14:paraId="42BE29D2">
      <w:pPr>
        <w:pStyle w:val="10"/>
        <w:tabs>
          <w:tab w:val="right" w:leader="dot" w:pos="8306"/>
        </w:tabs>
      </w:pPr>
      <w:r>
        <w:rPr>
          <w:rFonts w:hint="eastAsia" w:ascii="仿宋_GB2312" w:hAnsi="仿宋_GB2312" w:eastAsia="仿宋_GB2312" w:cs="仿宋_GB2312"/>
          <w:bCs w:val="0"/>
          <w:szCs w:val="32"/>
          <w:highlight w:val="none"/>
          <w:u w:val="none"/>
          <w:lang w:val="en-US" w:eastAsia="zh-CN"/>
        </w:rPr>
        <w:fldChar w:fldCharType="begin"/>
      </w:r>
      <w:r>
        <w:rPr>
          <w:rFonts w:hint="eastAsia" w:ascii="仿宋_GB2312" w:hAnsi="仿宋_GB2312" w:eastAsia="仿宋_GB2312" w:cs="仿宋_GB2312"/>
          <w:bCs w:val="0"/>
          <w:szCs w:val="32"/>
          <w:highlight w:val="none"/>
          <w:lang w:val="en-US" w:eastAsia="zh-CN"/>
        </w:rPr>
        <w:instrText xml:space="preserve"> HYPERLINK \l _Toc4886 </w:instrText>
      </w:r>
      <w:r>
        <w:rPr>
          <w:rFonts w:hint="eastAsia" w:ascii="仿宋_GB2312" w:hAnsi="仿宋_GB2312" w:eastAsia="仿宋_GB2312" w:cs="仿宋_GB2312"/>
          <w:bCs w:val="0"/>
          <w:szCs w:val="32"/>
          <w:highlight w:val="none"/>
          <w:lang w:val="en-US" w:eastAsia="zh-CN"/>
        </w:rPr>
        <w:fldChar w:fldCharType="separate"/>
      </w:r>
      <w:r>
        <w:rPr>
          <w:rFonts w:hint="eastAsia" w:ascii="Arial" w:hAnsi="Arial"/>
          <w:lang w:val="en-US" w:eastAsia="zh-CN"/>
        </w:rPr>
        <w:t>（二）分年度计划</w:t>
      </w:r>
      <w:r>
        <w:tab/>
      </w:r>
      <w:r>
        <w:fldChar w:fldCharType="begin"/>
      </w:r>
      <w:r>
        <w:instrText xml:space="preserve"> PAGEREF _Toc4886 \h </w:instrText>
      </w:r>
      <w:r>
        <w:fldChar w:fldCharType="separate"/>
      </w:r>
      <w:r>
        <w:t>35</w:t>
      </w:r>
      <w:r>
        <w:fldChar w:fldCharType="end"/>
      </w:r>
      <w:r>
        <w:rPr>
          <w:rFonts w:hint="eastAsia" w:ascii="仿宋_GB2312" w:hAnsi="仿宋_GB2312" w:eastAsia="仿宋_GB2312" w:cs="仿宋_GB2312"/>
          <w:bCs w:val="0"/>
          <w:szCs w:val="32"/>
          <w:highlight w:val="none"/>
          <w:u w:val="none"/>
          <w:lang w:val="en-US" w:eastAsia="zh-CN"/>
        </w:rPr>
        <w:fldChar w:fldCharType="end"/>
      </w:r>
    </w:p>
    <w:p w14:paraId="20D4A66A">
      <w:pPr>
        <w:pStyle w:val="10"/>
        <w:tabs>
          <w:tab w:val="right" w:leader="dot" w:pos="8306"/>
        </w:tabs>
      </w:pPr>
      <w:r>
        <w:rPr>
          <w:rFonts w:hint="eastAsia" w:ascii="仿宋_GB2312" w:hAnsi="仿宋_GB2312" w:eastAsia="仿宋_GB2312" w:cs="仿宋_GB2312"/>
          <w:bCs w:val="0"/>
          <w:szCs w:val="32"/>
          <w:highlight w:val="none"/>
          <w:u w:val="none"/>
          <w:lang w:val="en-US" w:eastAsia="zh-CN"/>
        </w:rPr>
        <w:fldChar w:fldCharType="begin"/>
      </w:r>
      <w:r>
        <w:rPr>
          <w:rFonts w:hint="eastAsia" w:ascii="仿宋_GB2312" w:hAnsi="仿宋_GB2312" w:eastAsia="仿宋_GB2312" w:cs="仿宋_GB2312"/>
          <w:bCs w:val="0"/>
          <w:szCs w:val="32"/>
          <w:highlight w:val="none"/>
          <w:lang w:val="en-US" w:eastAsia="zh-CN"/>
        </w:rPr>
        <w:instrText xml:space="preserve"> HYPERLINK \l _Toc12389 </w:instrText>
      </w:r>
      <w:r>
        <w:rPr>
          <w:rFonts w:hint="eastAsia" w:ascii="仿宋_GB2312" w:hAnsi="仿宋_GB2312" w:eastAsia="仿宋_GB2312" w:cs="仿宋_GB2312"/>
          <w:bCs w:val="0"/>
          <w:szCs w:val="32"/>
          <w:highlight w:val="none"/>
          <w:lang w:val="en-US" w:eastAsia="zh-CN"/>
        </w:rPr>
        <w:fldChar w:fldCharType="separate"/>
      </w:r>
      <w:r>
        <w:rPr>
          <w:rFonts w:hint="eastAsia" w:ascii="Arial" w:hAnsi="Arial"/>
          <w:lang w:val="en-US" w:eastAsia="zh-CN"/>
        </w:rPr>
        <w:t>（三）具体措施</w:t>
      </w:r>
      <w:r>
        <w:tab/>
      </w:r>
      <w:r>
        <w:fldChar w:fldCharType="begin"/>
      </w:r>
      <w:r>
        <w:instrText xml:space="preserve"> PAGEREF _Toc12389 \h </w:instrText>
      </w:r>
      <w:r>
        <w:fldChar w:fldCharType="separate"/>
      </w:r>
      <w:r>
        <w:t>36</w:t>
      </w:r>
      <w:r>
        <w:fldChar w:fldCharType="end"/>
      </w:r>
      <w:r>
        <w:rPr>
          <w:rFonts w:hint="eastAsia" w:ascii="仿宋_GB2312" w:hAnsi="仿宋_GB2312" w:eastAsia="仿宋_GB2312" w:cs="仿宋_GB2312"/>
          <w:bCs w:val="0"/>
          <w:szCs w:val="32"/>
          <w:highlight w:val="none"/>
          <w:u w:val="none"/>
          <w:lang w:val="en-US" w:eastAsia="zh-CN"/>
        </w:rPr>
        <w:fldChar w:fldCharType="end"/>
      </w:r>
    </w:p>
    <w:p w14:paraId="23247F7D">
      <w:pPr>
        <w:pStyle w:val="9"/>
        <w:tabs>
          <w:tab w:val="right" w:leader="dot" w:pos="8306"/>
        </w:tabs>
      </w:pPr>
      <w:r>
        <w:rPr>
          <w:rFonts w:hint="eastAsia" w:ascii="仿宋_GB2312" w:hAnsi="仿宋_GB2312" w:eastAsia="仿宋_GB2312" w:cs="仿宋_GB2312"/>
          <w:bCs w:val="0"/>
          <w:szCs w:val="32"/>
          <w:highlight w:val="none"/>
          <w:u w:val="none"/>
          <w:lang w:val="en-US" w:eastAsia="zh-CN"/>
        </w:rPr>
        <w:fldChar w:fldCharType="begin"/>
      </w:r>
      <w:r>
        <w:rPr>
          <w:rFonts w:hint="eastAsia" w:ascii="仿宋_GB2312" w:hAnsi="仿宋_GB2312" w:eastAsia="仿宋_GB2312" w:cs="仿宋_GB2312"/>
          <w:bCs w:val="0"/>
          <w:szCs w:val="32"/>
          <w:highlight w:val="none"/>
          <w:lang w:val="en-US" w:eastAsia="zh-CN"/>
        </w:rPr>
        <w:instrText xml:space="preserve"> HYPERLINK \l _Toc22112 </w:instrText>
      </w:r>
      <w:r>
        <w:rPr>
          <w:rFonts w:hint="eastAsia" w:ascii="仿宋_GB2312" w:hAnsi="仿宋_GB2312" w:eastAsia="仿宋_GB2312" w:cs="仿宋_GB2312"/>
          <w:bCs w:val="0"/>
          <w:szCs w:val="32"/>
          <w:highlight w:val="none"/>
          <w:lang w:val="en-US" w:eastAsia="zh-CN"/>
        </w:rPr>
        <w:fldChar w:fldCharType="separate"/>
      </w:r>
      <w:r>
        <w:rPr>
          <w:rFonts w:hint="eastAsia"/>
          <w:lang w:val="en-US" w:eastAsia="zh-CN"/>
        </w:rPr>
        <w:t>九、加快建成城乡流通“大平台”，提升供销农产品“上行率”</w:t>
      </w:r>
      <w:r>
        <w:tab/>
      </w:r>
      <w:r>
        <w:fldChar w:fldCharType="begin"/>
      </w:r>
      <w:r>
        <w:instrText xml:space="preserve"> PAGEREF _Toc22112 \h </w:instrText>
      </w:r>
      <w:r>
        <w:fldChar w:fldCharType="separate"/>
      </w:r>
      <w:r>
        <w:t>39</w:t>
      </w:r>
      <w:r>
        <w:fldChar w:fldCharType="end"/>
      </w:r>
      <w:r>
        <w:rPr>
          <w:rFonts w:hint="eastAsia" w:ascii="仿宋_GB2312" w:hAnsi="仿宋_GB2312" w:eastAsia="仿宋_GB2312" w:cs="仿宋_GB2312"/>
          <w:bCs w:val="0"/>
          <w:szCs w:val="32"/>
          <w:highlight w:val="none"/>
          <w:u w:val="none"/>
          <w:lang w:val="en-US" w:eastAsia="zh-CN"/>
        </w:rPr>
        <w:fldChar w:fldCharType="end"/>
      </w:r>
    </w:p>
    <w:p w14:paraId="789D68D9">
      <w:pPr>
        <w:pStyle w:val="10"/>
        <w:tabs>
          <w:tab w:val="right" w:leader="dot" w:pos="8306"/>
        </w:tabs>
      </w:pPr>
      <w:r>
        <w:rPr>
          <w:rFonts w:hint="eastAsia" w:ascii="仿宋_GB2312" w:hAnsi="仿宋_GB2312" w:eastAsia="仿宋_GB2312" w:cs="仿宋_GB2312"/>
          <w:bCs w:val="0"/>
          <w:szCs w:val="32"/>
          <w:highlight w:val="none"/>
          <w:u w:val="none"/>
          <w:lang w:val="en-US" w:eastAsia="zh-CN"/>
        </w:rPr>
        <w:fldChar w:fldCharType="begin"/>
      </w:r>
      <w:r>
        <w:rPr>
          <w:rFonts w:hint="eastAsia" w:ascii="仿宋_GB2312" w:hAnsi="仿宋_GB2312" w:eastAsia="仿宋_GB2312" w:cs="仿宋_GB2312"/>
          <w:bCs w:val="0"/>
          <w:szCs w:val="32"/>
          <w:highlight w:val="none"/>
          <w:lang w:val="en-US" w:eastAsia="zh-CN"/>
        </w:rPr>
        <w:instrText xml:space="preserve"> HYPERLINK \l _Toc16106 </w:instrText>
      </w:r>
      <w:r>
        <w:rPr>
          <w:rFonts w:hint="eastAsia" w:ascii="仿宋_GB2312" w:hAnsi="仿宋_GB2312" w:eastAsia="仿宋_GB2312" w:cs="仿宋_GB2312"/>
          <w:bCs w:val="0"/>
          <w:szCs w:val="32"/>
          <w:highlight w:val="none"/>
          <w:lang w:val="en-US" w:eastAsia="zh-CN"/>
        </w:rPr>
        <w:fldChar w:fldCharType="separate"/>
      </w:r>
      <w:r>
        <w:rPr>
          <w:rFonts w:hint="eastAsia" w:ascii="Arial" w:hAnsi="Arial"/>
          <w:lang w:val="en-US" w:eastAsia="zh-CN"/>
        </w:rPr>
        <w:t>（一）任务目标</w:t>
      </w:r>
      <w:r>
        <w:tab/>
      </w:r>
      <w:r>
        <w:fldChar w:fldCharType="begin"/>
      </w:r>
      <w:r>
        <w:instrText xml:space="preserve"> PAGEREF _Toc16106 \h </w:instrText>
      </w:r>
      <w:r>
        <w:fldChar w:fldCharType="separate"/>
      </w:r>
      <w:r>
        <w:t>39</w:t>
      </w:r>
      <w:r>
        <w:fldChar w:fldCharType="end"/>
      </w:r>
      <w:r>
        <w:rPr>
          <w:rFonts w:hint="eastAsia" w:ascii="仿宋_GB2312" w:hAnsi="仿宋_GB2312" w:eastAsia="仿宋_GB2312" w:cs="仿宋_GB2312"/>
          <w:bCs w:val="0"/>
          <w:szCs w:val="32"/>
          <w:highlight w:val="none"/>
          <w:u w:val="none"/>
          <w:lang w:val="en-US" w:eastAsia="zh-CN"/>
        </w:rPr>
        <w:fldChar w:fldCharType="end"/>
      </w:r>
    </w:p>
    <w:p w14:paraId="07FAB78F">
      <w:pPr>
        <w:pStyle w:val="10"/>
        <w:tabs>
          <w:tab w:val="right" w:leader="dot" w:pos="8306"/>
        </w:tabs>
      </w:pPr>
      <w:r>
        <w:rPr>
          <w:rFonts w:hint="eastAsia" w:ascii="仿宋_GB2312" w:hAnsi="仿宋_GB2312" w:eastAsia="仿宋_GB2312" w:cs="仿宋_GB2312"/>
          <w:bCs w:val="0"/>
          <w:szCs w:val="32"/>
          <w:highlight w:val="none"/>
          <w:u w:val="none"/>
          <w:lang w:val="en-US" w:eastAsia="zh-CN"/>
        </w:rPr>
        <w:fldChar w:fldCharType="begin"/>
      </w:r>
      <w:r>
        <w:rPr>
          <w:rFonts w:hint="eastAsia" w:ascii="仿宋_GB2312" w:hAnsi="仿宋_GB2312" w:eastAsia="仿宋_GB2312" w:cs="仿宋_GB2312"/>
          <w:bCs w:val="0"/>
          <w:szCs w:val="32"/>
          <w:highlight w:val="none"/>
          <w:lang w:val="en-US" w:eastAsia="zh-CN"/>
        </w:rPr>
        <w:instrText xml:space="preserve"> HYPERLINK \l _Toc14670 </w:instrText>
      </w:r>
      <w:r>
        <w:rPr>
          <w:rFonts w:hint="eastAsia" w:ascii="仿宋_GB2312" w:hAnsi="仿宋_GB2312" w:eastAsia="仿宋_GB2312" w:cs="仿宋_GB2312"/>
          <w:bCs w:val="0"/>
          <w:szCs w:val="32"/>
          <w:highlight w:val="none"/>
          <w:lang w:val="en-US" w:eastAsia="zh-CN"/>
        </w:rPr>
        <w:fldChar w:fldCharType="separate"/>
      </w:r>
      <w:r>
        <w:rPr>
          <w:rFonts w:hint="eastAsia" w:ascii="Arial" w:hAnsi="Arial"/>
          <w:lang w:val="en-US" w:eastAsia="zh-CN"/>
        </w:rPr>
        <w:t>（二）分年度计划</w:t>
      </w:r>
      <w:r>
        <w:tab/>
      </w:r>
      <w:r>
        <w:fldChar w:fldCharType="begin"/>
      </w:r>
      <w:r>
        <w:instrText xml:space="preserve"> PAGEREF _Toc14670 \h </w:instrText>
      </w:r>
      <w:r>
        <w:fldChar w:fldCharType="separate"/>
      </w:r>
      <w:r>
        <w:t>39</w:t>
      </w:r>
      <w:r>
        <w:fldChar w:fldCharType="end"/>
      </w:r>
      <w:r>
        <w:rPr>
          <w:rFonts w:hint="eastAsia" w:ascii="仿宋_GB2312" w:hAnsi="仿宋_GB2312" w:eastAsia="仿宋_GB2312" w:cs="仿宋_GB2312"/>
          <w:bCs w:val="0"/>
          <w:szCs w:val="32"/>
          <w:highlight w:val="none"/>
          <w:u w:val="none"/>
          <w:lang w:val="en-US" w:eastAsia="zh-CN"/>
        </w:rPr>
        <w:fldChar w:fldCharType="end"/>
      </w:r>
    </w:p>
    <w:p w14:paraId="4DABE6C3">
      <w:pPr>
        <w:pStyle w:val="10"/>
        <w:tabs>
          <w:tab w:val="right" w:leader="dot" w:pos="8306"/>
        </w:tabs>
      </w:pPr>
      <w:r>
        <w:rPr>
          <w:rFonts w:hint="eastAsia" w:ascii="仿宋_GB2312" w:hAnsi="仿宋_GB2312" w:eastAsia="仿宋_GB2312" w:cs="仿宋_GB2312"/>
          <w:bCs w:val="0"/>
          <w:szCs w:val="32"/>
          <w:highlight w:val="none"/>
          <w:u w:val="none"/>
          <w:lang w:val="en-US" w:eastAsia="zh-CN"/>
        </w:rPr>
        <w:fldChar w:fldCharType="begin"/>
      </w:r>
      <w:r>
        <w:rPr>
          <w:rFonts w:hint="eastAsia" w:ascii="仿宋_GB2312" w:hAnsi="仿宋_GB2312" w:eastAsia="仿宋_GB2312" w:cs="仿宋_GB2312"/>
          <w:bCs w:val="0"/>
          <w:szCs w:val="32"/>
          <w:highlight w:val="none"/>
          <w:lang w:val="en-US" w:eastAsia="zh-CN"/>
        </w:rPr>
        <w:instrText xml:space="preserve"> HYPERLINK \l _Toc9165 </w:instrText>
      </w:r>
      <w:r>
        <w:rPr>
          <w:rFonts w:hint="eastAsia" w:ascii="仿宋_GB2312" w:hAnsi="仿宋_GB2312" w:eastAsia="仿宋_GB2312" w:cs="仿宋_GB2312"/>
          <w:bCs w:val="0"/>
          <w:szCs w:val="32"/>
          <w:highlight w:val="none"/>
          <w:lang w:val="en-US" w:eastAsia="zh-CN"/>
        </w:rPr>
        <w:fldChar w:fldCharType="separate"/>
      </w:r>
      <w:r>
        <w:rPr>
          <w:rFonts w:hint="eastAsia" w:ascii="Arial" w:hAnsi="Arial"/>
          <w:lang w:val="en-US" w:eastAsia="zh-CN"/>
        </w:rPr>
        <w:t>（三）具体措施</w:t>
      </w:r>
      <w:r>
        <w:tab/>
      </w:r>
      <w:r>
        <w:fldChar w:fldCharType="begin"/>
      </w:r>
      <w:r>
        <w:instrText xml:space="preserve"> PAGEREF _Toc9165 \h </w:instrText>
      </w:r>
      <w:r>
        <w:fldChar w:fldCharType="separate"/>
      </w:r>
      <w:r>
        <w:t>40</w:t>
      </w:r>
      <w:r>
        <w:fldChar w:fldCharType="end"/>
      </w:r>
      <w:r>
        <w:rPr>
          <w:rFonts w:hint="eastAsia" w:ascii="仿宋_GB2312" w:hAnsi="仿宋_GB2312" w:eastAsia="仿宋_GB2312" w:cs="仿宋_GB2312"/>
          <w:bCs w:val="0"/>
          <w:szCs w:val="32"/>
          <w:highlight w:val="none"/>
          <w:u w:val="none"/>
          <w:lang w:val="en-US" w:eastAsia="zh-CN"/>
        </w:rPr>
        <w:fldChar w:fldCharType="end"/>
      </w:r>
    </w:p>
    <w:p w14:paraId="71560F0B">
      <w:pPr>
        <w:pStyle w:val="9"/>
        <w:tabs>
          <w:tab w:val="right" w:leader="dot" w:pos="8306"/>
        </w:tabs>
      </w:pPr>
      <w:r>
        <w:rPr>
          <w:rFonts w:hint="eastAsia" w:ascii="仿宋_GB2312" w:hAnsi="仿宋_GB2312" w:eastAsia="仿宋_GB2312" w:cs="仿宋_GB2312"/>
          <w:bCs w:val="0"/>
          <w:szCs w:val="32"/>
          <w:highlight w:val="none"/>
          <w:u w:val="none"/>
          <w:lang w:val="en-US" w:eastAsia="zh-CN"/>
        </w:rPr>
        <w:fldChar w:fldCharType="begin"/>
      </w:r>
      <w:r>
        <w:rPr>
          <w:rFonts w:hint="eastAsia" w:ascii="仿宋_GB2312" w:hAnsi="仿宋_GB2312" w:eastAsia="仿宋_GB2312" w:cs="仿宋_GB2312"/>
          <w:bCs w:val="0"/>
          <w:szCs w:val="32"/>
          <w:highlight w:val="none"/>
          <w:lang w:val="en-US" w:eastAsia="zh-CN"/>
        </w:rPr>
        <w:instrText xml:space="preserve"> HYPERLINK \l _Toc13887 </w:instrText>
      </w:r>
      <w:r>
        <w:rPr>
          <w:rFonts w:hint="eastAsia" w:ascii="仿宋_GB2312" w:hAnsi="仿宋_GB2312" w:eastAsia="仿宋_GB2312" w:cs="仿宋_GB2312"/>
          <w:bCs w:val="0"/>
          <w:szCs w:val="32"/>
          <w:highlight w:val="none"/>
          <w:lang w:val="en-US" w:eastAsia="zh-CN"/>
        </w:rPr>
        <w:fldChar w:fldCharType="separate"/>
      </w:r>
      <w:r>
        <w:rPr>
          <w:rFonts w:hint="eastAsia"/>
          <w:lang w:val="en-US" w:eastAsia="zh-CN"/>
        </w:rPr>
        <w:t>十、加快建成再生资源回收利用“生力军”，提升供销两网“覆盖率”</w:t>
      </w:r>
      <w:r>
        <w:tab/>
      </w:r>
      <w:r>
        <w:fldChar w:fldCharType="begin"/>
      </w:r>
      <w:r>
        <w:instrText xml:space="preserve"> PAGEREF _Toc13887 \h </w:instrText>
      </w:r>
      <w:r>
        <w:fldChar w:fldCharType="separate"/>
      </w:r>
      <w:r>
        <w:t>42</w:t>
      </w:r>
      <w:r>
        <w:fldChar w:fldCharType="end"/>
      </w:r>
      <w:r>
        <w:rPr>
          <w:rFonts w:hint="eastAsia" w:ascii="仿宋_GB2312" w:hAnsi="仿宋_GB2312" w:eastAsia="仿宋_GB2312" w:cs="仿宋_GB2312"/>
          <w:bCs w:val="0"/>
          <w:szCs w:val="32"/>
          <w:highlight w:val="none"/>
          <w:u w:val="none"/>
          <w:lang w:val="en-US" w:eastAsia="zh-CN"/>
        </w:rPr>
        <w:fldChar w:fldCharType="end"/>
      </w:r>
    </w:p>
    <w:p w14:paraId="05B432F1">
      <w:pPr>
        <w:pStyle w:val="10"/>
        <w:tabs>
          <w:tab w:val="right" w:leader="dot" w:pos="8306"/>
        </w:tabs>
      </w:pPr>
      <w:r>
        <w:rPr>
          <w:rFonts w:hint="eastAsia" w:ascii="仿宋_GB2312" w:hAnsi="仿宋_GB2312" w:eastAsia="仿宋_GB2312" w:cs="仿宋_GB2312"/>
          <w:bCs w:val="0"/>
          <w:szCs w:val="32"/>
          <w:highlight w:val="none"/>
          <w:u w:val="none"/>
          <w:lang w:val="en-US" w:eastAsia="zh-CN"/>
        </w:rPr>
        <w:fldChar w:fldCharType="begin"/>
      </w:r>
      <w:r>
        <w:rPr>
          <w:rFonts w:hint="eastAsia" w:ascii="仿宋_GB2312" w:hAnsi="仿宋_GB2312" w:eastAsia="仿宋_GB2312" w:cs="仿宋_GB2312"/>
          <w:bCs w:val="0"/>
          <w:szCs w:val="32"/>
          <w:highlight w:val="none"/>
          <w:lang w:val="en-US" w:eastAsia="zh-CN"/>
        </w:rPr>
        <w:instrText xml:space="preserve"> HYPERLINK \l _Toc11338 </w:instrText>
      </w:r>
      <w:r>
        <w:rPr>
          <w:rFonts w:hint="eastAsia" w:ascii="仿宋_GB2312" w:hAnsi="仿宋_GB2312" w:eastAsia="仿宋_GB2312" w:cs="仿宋_GB2312"/>
          <w:bCs w:val="0"/>
          <w:szCs w:val="32"/>
          <w:highlight w:val="none"/>
          <w:lang w:val="en-US" w:eastAsia="zh-CN"/>
        </w:rPr>
        <w:fldChar w:fldCharType="separate"/>
      </w:r>
      <w:r>
        <w:rPr>
          <w:rFonts w:hint="eastAsia" w:ascii="Arial" w:hAnsi="Arial"/>
          <w:lang w:eastAsia="zh-CN"/>
        </w:rPr>
        <w:t>（</w:t>
      </w:r>
      <w:r>
        <w:rPr>
          <w:rFonts w:hint="eastAsia" w:ascii="Arial" w:hAnsi="Arial"/>
          <w:lang w:val="en-US" w:eastAsia="zh-CN"/>
        </w:rPr>
        <w:t>一</w:t>
      </w:r>
      <w:r>
        <w:rPr>
          <w:rFonts w:hint="eastAsia" w:ascii="Arial" w:hAnsi="Arial"/>
          <w:lang w:eastAsia="zh-CN"/>
        </w:rPr>
        <w:t>）任务目标</w:t>
      </w:r>
      <w:r>
        <w:tab/>
      </w:r>
      <w:r>
        <w:fldChar w:fldCharType="begin"/>
      </w:r>
      <w:r>
        <w:instrText xml:space="preserve"> PAGEREF _Toc11338 \h </w:instrText>
      </w:r>
      <w:r>
        <w:fldChar w:fldCharType="separate"/>
      </w:r>
      <w:r>
        <w:t>42</w:t>
      </w:r>
      <w:r>
        <w:fldChar w:fldCharType="end"/>
      </w:r>
      <w:r>
        <w:rPr>
          <w:rFonts w:hint="eastAsia" w:ascii="仿宋_GB2312" w:hAnsi="仿宋_GB2312" w:eastAsia="仿宋_GB2312" w:cs="仿宋_GB2312"/>
          <w:bCs w:val="0"/>
          <w:szCs w:val="32"/>
          <w:highlight w:val="none"/>
          <w:u w:val="none"/>
          <w:lang w:val="en-US" w:eastAsia="zh-CN"/>
        </w:rPr>
        <w:fldChar w:fldCharType="end"/>
      </w:r>
    </w:p>
    <w:p w14:paraId="69A309D1">
      <w:pPr>
        <w:pStyle w:val="10"/>
        <w:tabs>
          <w:tab w:val="right" w:leader="dot" w:pos="8306"/>
        </w:tabs>
      </w:pPr>
      <w:r>
        <w:rPr>
          <w:rFonts w:hint="eastAsia" w:ascii="仿宋_GB2312" w:hAnsi="仿宋_GB2312" w:eastAsia="仿宋_GB2312" w:cs="仿宋_GB2312"/>
          <w:bCs w:val="0"/>
          <w:szCs w:val="32"/>
          <w:highlight w:val="none"/>
          <w:u w:val="none"/>
          <w:lang w:val="en-US" w:eastAsia="zh-CN"/>
        </w:rPr>
        <w:fldChar w:fldCharType="begin"/>
      </w:r>
      <w:r>
        <w:rPr>
          <w:rFonts w:hint="eastAsia" w:ascii="仿宋_GB2312" w:hAnsi="仿宋_GB2312" w:eastAsia="仿宋_GB2312" w:cs="仿宋_GB2312"/>
          <w:bCs w:val="0"/>
          <w:szCs w:val="32"/>
          <w:highlight w:val="none"/>
          <w:lang w:val="en-US" w:eastAsia="zh-CN"/>
        </w:rPr>
        <w:instrText xml:space="preserve"> HYPERLINK \l _Toc6258 </w:instrText>
      </w:r>
      <w:r>
        <w:rPr>
          <w:rFonts w:hint="eastAsia" w:ascii="仿宋_GB2312" w:hAnsi="仿宋_GB2312" w:eastAsia="仿宋_GB2312" w:cs="仿宋_GB2312"/>
          <w:bCs w:val="0"/>
          <w:szCs w:val="32"/>
          <w:highlight w:val="none"/>
          <w:lang w:val="en-US" w:eastAsia="zh-CN"/>
        </w:rPr>
        <w:fldChar w:fldCharType="separate"/>
      </w:r>
      <w:r>
        <w:rPr>
          <w:rFonts w:hint="eastAsia" w:ascii="Arial" w:hAnsi="Arial"/>
          <w:lang w:eastAsia="zh-CN"/>
        </w:rPr>
        <w:t>（</w:t>
      </w:r>
      <w:r>
        <w:rPr>
          <w:rFonts w:hint="eastAsia" w:ascii="Arial" w:hAnsi="Arial"/>
          <w:lang w:val="en-US" w:eastAsia="zh-CN"/>
        </w:rPr>
        <w:t>二</w:t>
      </w:r>
      <w:r>
        <w:rPr>
          <w:rFonts w:hint="eastAsia" w:ascii="Arial" w:hAnsi="Arial"/>
          <w:lang w:eastAsia="zh-CN"/>
        </w:rPr>
        <w:t>）年度分解</w:t>
      </w:r>
      <w:r>
        <w:tab/>
      </w:r>
      <w:r>
        <w:fldChar w:fldCharType="begin"/>
      </w:r>
      <w:r>
        <w:instrText xml:space="preserve"> PAGEREF _Toc6258 \h </w:instrText>
      </w:r>
      <w:r>
        <w:fldChar w:fldCharType="separate"/>
      </w:r>
      <w:r>
        <w:t>43</w:t>
      </w:r>
      <w:r>
        <w:fldChar w:fldCharType="end"/>
      </w:r>
      <w:r>
        <w:rPr>
          <w:rFonts w:hint="eastAsia" w:ascii="仿宋_GB2312" w:hAnsi="仿宋_GB2312" w:eastAsia="仿宋_GB2312" w:cs="仿宋_GB2312"/>
          <w:bCs w:val="0"/>
          <w:szCs w:val="32"/>
          <w:highlight w:val="none"/>
          <w:u w:val="none"/>
          <w:lang w:val="en-US" w:eastAsia="zh-CN"/>
        </w:rPr>
        <w:fldChar w:fldCharType="end"/>
      </w:r>
    </w:p>
    <w:p w14:paraId="7746445C">
      <w:pPr>
        <w:pStyle w:val="10"/>
        <w:tabs>
          <w:tab w:val="right" w:leader="dot" w:pos="8306"/>
        </w:tabs>
      </w:pPr>
      <w:r>
        <w:rPr>
          <w:rFonts w:hint="eastAsia" w:ascii="仿宋_GB2312" w:hAnsi="仿宋_GB2312" w:eastAsia="仿宋_GB2312" w:cs="仿宋_GB2312"/>
          <w:bCs w:val="0"/>
          <w:szCs w:val="32"/>
          <w:highlight w:val="none"/>
          <w:u w:val="none"/>
          <w:lang w:val="en-US" w:eastAsia="zh-CN"/>
        </w:rPr>
        <w:fldChar w:fldCharType="begin"/>
      </w:r>
      <w:r>
        <w:rPr>
          <w:rFonts w:hint="eastAsia" w:ascii="仿宋_GB2312" w:hAnsi="仿宋_GB2312" w:eastAsia="仿宋_GB2312" w:cs="仿宋_GB2312"/>
          <w:bCs w:val="0"/>
          <w:szCs w:val="32"/>
          <w:highlight w:val="none"/>
          <w:lang w:val="en-US" w:eastAsia="zh-CN"/>
        </w:rPr>
        <w:instrText xml:space="preserve"> HYPERLINK \l _Toc9682 </w:instrText>
      </w:r>
      <w:r>
        <w:rPr>
          <w:rFonts w:hint="eastAsia" w:ascii="仿宋_GB2312" w:hAnsi="仿宋_GB2312" w:eastAsia="仿宋_GB2312" w:cs="仿宋_GB2312"/>
          <w:bCs w:val="0"/>
          <w:szCs w:val="32"/>
          <w:highlight w:val="none"/>
          <w:lang w:val="en-US" w:eastAsia="zh-CN"/>
        </w:rPr>
        <w:fldChar w:fldCharType="separate"/>
      </w:r>
      <w:r>
        <w:rPr>
          <w:rFonts w:hint="eastAsia"/>
          <w:lang w:eastAsia="zh-CN"/>
        </w:rPr>
        <w:t>（</w:t>
      </w:r>
      <w:r>
        <w:rPr>
          <w:rFonts w:hint="eastAsia"/>
          <w:lang w:val="en-US" w:eastAsia="zh-CN"/>
        </w:rPr>
        <w:t>三</w:t>
      </w:r>
      <w:r>
        <w:rPr>
          <w:rFonts w:hint="eastAsia"/>
          <w:lang w:eastAsia="zh-CN"/>
        </w:rPr>
        <w:t>）</w:t>
      </w:r>
      <w:r>
        <w:rPr>
          <w:rFonts w:hint="eastAsia"/>
          <w:lang w:val="en-US" w:eastAsia="zh-CN"/>
        </w:rPr>
        <w:t>具体</w:t>
      </w:r>
      <w:r>
        <w:rPr>
          <w:rFonts w:hint="eastAsia"/>
        </w:rPr>
        <w:t>举措</w:t>
      </w:r>
      <w:r>
        <w:tab/>
      </w:r>
      <w:r>
        <w:fldChar w:fldCharType="begin"/>
      </w:r>
      <w:r>
        <w:instrText xml:space="preserve"> PAGEREF _Toc9682 \h </w:instrText>
      </w:r>
      <w:r>
        <w:fldChar w:fldCharType="separate"/>
      </w:r>
      <w:r>
        <w:t>44</w:t>
      </w:r>
      <w:r>
        <w:fldChar w:fldCharType="end"/>
      </w:r>
      <w:r>
        <w:rPr>
          <w:rFonts w:hint="eastAsia" w:ascii="仿宋_GB2312" w:hAnsi="仿宋_GB2312" w:eastAsia="仿宋_GB2312" w:cs="仿宋_GB2312"/>
          <w:bCs w:val="0"/>
          <w:szCs w:val="32"/>
          <w:highlight w:val="none"/>
          <w:u w:val="none"/>
          <w:lang w:val="en-US" w:eastAsia="zh-CN"/>
        </w:rPr>
        <w:fldChar w:fldCharType="end"/>
      </w:r>
    </w:p>
    <w:p w14:paraId="0E3721F2">
      <w:pPr>
        <w:pStyle w:val="9"/>
        <w:tabs>
          <w:tab w:val="right" w:leader="dot" w:pos="8306"/>
        </w:tabs>
      </w:pPr>
      <w:r>
        <w:rPr>
          <w:rFonts w:hint="eastAsia" w:ascii="仿宋_GB2312" w:hAnsi="仿宋_GB2312" w:eastAsia="仿宋_GB2312" w:cs="仿宋_GB2312"/>
          <w:bCs w:val="0"/>
          <w:szCs w:val="32"/>
          <w:highlight w:val="none"/>
          <w:u w:val="none"/>
          <w:lang w:val="en-US" w:eastAsia="zh-CN"/>
        </w:rPr>
        <w:fldChar w:fldCharType="begin"/>
      </w:r>
      <w:r>
        <w:rPr>
          <w:rFonts w:hint="eastAsia" w:ascii="仿宋_GB2312" w:hAnsi="仿宋_GB2312" w:eastAsia="仿宋_GB2312" w:cs="仿宋_GB2312"/>
          <w:bCs w:val="0"/>
          <w:szCs w:val="32"/>
          <w:highlight w:val="none"/>
          <w:lang w:val="en-US" w:eastAsia="zh-CN"/>
        </w:rPr>
        <w:instrText xml:space="preserve"> HYPERLINK \l _Toc4631 </w:instrText>
      </w:r>
      <w:r>
        <w:rPr>
          <w:rFonts w:hint="eastAsia" w:ascii="仿宋_GB2312" w:hAnsi="仿宋_GB2312" w:eastAsia="仿宋_GB2312" w:cs="仿宋_GB2312"/>
          <w:bCs w:val="0"/>
          <w:szCs w:val="32"/>
          <w:highlight w:val="none"/>
          <w:lang w:val="en-US" w:eastAsia="zh-CN"/>
        </w:rPr>
        <w:fldChar w:fldCharType="separate"/>
      </w:r>
      <w:r>
        <w:rPr>
          <w:rFonts w:hint="eastAsia"/>
          <w:lang w:val="en-US" w:eastAsia="zh-CN"/>
        </w:rPr>
        <w:t>十一、加强组织创新，强化联农带农，提升供销“联农率”</w:t>
      </w:r>
      <w:r>
        <w:tab/>
      </w:r>
      <w:r>
        <w:fldChar w:fldCharType="begin"/>
      </w:r>
      <w:r>
        <w:instrText xml:space="preserve"> PAGEREF _Toc4631 \h </w:instrText>
      </w:r>
      <w:r>
        <w:fldChar w:fldCharType="separate"/>
      </w:r>
      <w:r>
        <w:t>46</w:t>
      </w:r>
      <w:r>
        <w:fldChar w:fldCharType="end"/>
      </w:r>
      <w:r>
        <w:rPr>
          <w:rFonts w:hint="eastAsia" w:ascii="仿宋_GB2312" w:hAnsi="仿宋_GB2312" w:eastAsia="仿宋_GB2312" w:cs="仿宋_GB2312"/>
          <w:bCs w:val="0"/>
          <w:szCs w:val="32"/>
          <w:highlight w:val="none"/>
          <w:u w:val="none"/>
          <w:lang w:val="en-US" w:eastAsia="zh-CN"/>
        </w:rPr>
        <w:fldChar w:fldCharType="end"/>
      </w:r>
    </w:p>
    <w:p w14:paraId="2824DDC7">
      <w:pPr>
        <w:pStyle w:val="10"/>
        <w:tabs>
          <w:tab w:val="right" w:leader="dot" w:pos="8306"/>
        </w:tabs>
      </w:pPr>
      <w:r>
        <w:rPr>
          <w:rFonts w:hint="eastAsia" w:ascii="仿宋_GB2312" w:hAnsi="仿宋_GB2312" w:eastAsia="仿宋_GB2312" w:cs="仿宋_GB2312"/>
          <w:bCs w:val="0"/>
          <w:szCs w:val="32"/>
          <w:highlight w:val="none"/>
          <w:u w:val="none"/>
          <w:lang w:val="en-US" w:eastAsia="zh-CN"/>
        </w:rPr>
        <w:fldChar w:fldCharType="begin"/>
      </w:r>
      <w:r>
        <w:rPr>
          <w:rFonts w:hint="eastAsia" w:ascii="仿宋_GB2312" w:hAnsi="仿宋_GB2312" w:eastAsia="仿宋_GB2312" w:cs="仿宋_GB2312"/>
          <w:bCs w:val="0"/>
          <w:szCs w:val="32"/>
          <w:highlight w:val="none"/>
          <w:lang w:val="en-US" w:eastAsia="zh-CN"/>
        </w:rPr>
        <w:instrText xml:space="preserve"> HYPERLINK \l _Toc12879 </w:instrText>
      </w:r>
      <w:r>
        <w:rPr>
          <w:rFonts w:hint="eastAsia" w:ascii="仿宋_GB2312" w:hAnsi="仿宋_GB2312" w:eastAsia="仿宋_GB2312" w:cs="仿宋_GB2312"/>
          <w:bCs w:val="0"/>
          <w:szCs w:val="32"/>
          <w:highlight w:val="none"/>
          <w:lang w:val="en-US" w:eastAsia="zh-CN"/>
        </w:rPr>
        <w:fldChar w:fldCharType="separate"/>
      </w:r>
      <w:r>
        <w:rPr>
          <w:rFonts w:hint="eastAsia" w:ascii="Arial" w:hAnsi="Arial"/>
          <w:lang w:val="en-US" w:eastAsia="zh-CN"/>
        </w:rPr>
        <w:t>（一）主要任务</w:t>
      </w:r>
      <w:r>
        <w:tab/>
      </w:r>
      <w:r>
        <w:fldChar w:fldCharType="begin"/>
      </w:r>
      <w:r>
        <w:instrText xml:space="preserve"> PAGEREF _Toc12879 \h </w:instrText>
      </w:r>
      <w:r>
        <w:fldChar w:fldCharType="separate"/>
      </w:r>
      <w:r>
        <w:t>46</w:t>
      </w:r>
      <w:r>
        <w:fldChar w:fldCharType="end"/>
      </w:r>
      <w:r>
        <w:rPr>
          <w:rFonts w:hint="eastAsia" w:ascii="仿宋_GB2312" w:hAnsi="仿宋_GB2312" w:eastAsia="仿宋_GB2312" w:cs="仿宋_GB2312"/>
          <w:bCs w:val="0"/>
          <w:szCs w:val="32"/>
          <w:highlight w:val="none"/>
          <w:u w:val="none"/>
          <w:lang w:val="en-US" w:eastAsia="zh-CN"/>
        </w:rPr>
        <w:fldChar w:fldCharType="end"/>
      </w:r>
    </w:p>
    <w:p w14:paraId="06A9A359">
      <w:pPr>
        <w:pStyle w:val="10"/>
        <w:tabs>
          <w:tab w:val="right" w:leader="dot" w:pos="8306"/>
        </w:tabs>
      </w:pPr>
      <w:r>
        <w:rPr>
          <w:rFonts w:hint="eastAsia" w:ascii="仿宋_GB2312" w:hAnsi="仿宋_GB2312" w:eastAsia="仿宋_GB2312" w:cs="仿宋_GB2312"/>
          <w:bCs w:val="0"/>
          <w:szCs w:val="32"/>
          <w:highlight w:val="none"/>
          <w:u w:val="none"/>
          <w:lang w:val="en-US" w:eastAsia="zh-CN"/>
        </w:rPr>
        <w:fldChar w:fldCharType="begin"/>
      </w:r>
      <w:r>
        <w:rPr>
          <w:rFonts w:hint="eastAsia" w:ascii="仿宋_GB2312" w:hAnsi="仿宋_GB2312" w:eastAsia="仿宋_GB2312" w:cs="仿宋_GB2312"/>
          <w:bCs w:val="0"/>
          <w:szCs w:val="32"/>
          <w:highlight w:val="none"/>
          <w:lang w:val="en-US" w:eastAsia="zh-CN"/>
        </w:rPr>
        <w:instrText xml:space="preserve"> HYPERLINK \l _Toc31743 </w:instrText>
      </w:r>
      <w:r>
        <w:rPr>
          <w:rFonts w:hint="eastAsia" w:ascii="仿宋_GB2312" w:hAnsi="仿宋_GB2312" w:eastAsia="仿宋_GB2312" w:cs="仿宋_GB2312"/>
          <w:bCs w:val="0"/>
          <w:szCs w:val="32"/>
          <w:highlight w:val="none"/>
          <w:lang w:val="en-US" w:eastAsia="zh-CN"/>
        </w:rPr>
        <w:fldChar w:fldCharType="separate"/>
      </w:r>
      <w:r>
        <w:rPr>
          <w:rFonts w:hint="eastAsia" w:ascii="Arial" w:hAnsi="Arial"/>
          <w:lang w:val="en-US" w:eastAsia="zh-CN"/>
        </w:rPr>
        <w:t>（二）分年度计划</w:t>
      </w:r>
      <w:r>
        <w:tab/>
      </w:r>
      <w:r>
        <w:fldChar w:fldCharType="begin"/>
      </w:r>
      <w:r>
        <w:instrText xml:space="preserve"> PAGEREF _Toc31743 \h </w:instrText>
      </w:r>
      <w:r>
        <w:fldChar w:fldCharType="separate"/>
      </w:r>
      <w:r>
        <w:t>47</w:t>
      </w:r>
      <w:r>
        <w:fldChar w:fldCharType="end"/>
      </w:r>
      <w:r>
        <w:rPr>
          <w:rFonts w:hint="eastAsia" w:ascii="仿宋_GB2312" w:hAnsi="仿宋_GB2312" w:eastAsia="仿宋_GB2312" w:cs="仿宋_GB2312"/>
          <w:bCs w:val="0"/>
          <w:szCs w:val="32"/>
          <w:highlight w:val="none"/>
          <w:u w:val="none"/>
          <w:lang w:val="en-US" w:eastAsia="zh-CN"/>
        </w:rPr>
        <w:fldChar w:fldCharType="end"/>
      </w:r>
    </w:p>
    <w:p w14:paraId="4E745E19">
      <w:pPr>
        <w:pStyle w:val="10"/>
        <w:tabs>
          <w:tab w:val="right" w:leader="dot" w:pos="8306"/>
        </w:tabs>
      </w:pPr>
      <w:r>
        <w:rPr>
          <w:rFonts w:hint="eastAsia" w:ascii="仿宋_GB2312" w:hAnsi="仿宋_GB2312" w:eastAsia="仿宋_GB2312" w:cs="仿宋_GB2312"/>
          <w:bCs w:val="0"/>
          <w:szCs w:val="32"/>
          <w:highlight w:val="none"/>
          <w:u w:val="none"/>
          <w:lang w:val="en-US" w:eastAsia="zh-CN"/>
        </w:rPr>
        <w:fldChar w:fldCharType="begin"/>
      </w:r>
      <w:r>
        <w:rPr>
          <w:rFonts w:hint="eastAsia" w:ascii="仿宋_GB2312" w:hAnsi="仿宋_GB2312" w:eastAsia="仿宋_GB2312" w:cs="仿宋_GB2312"/>
          <w:bCs w:val="0"/>
          <w:szCs w:val="32"/>
          <w:highlight w:val="none"/>
          <w:lang w:val="en-US" w:eastAsia="zh-CN"/>
        </w:rPr>
        <w:instrText xml:space="preserve"> HYPERLINK \l _Toc21397 </w:instrText>
      </w:r>
      <w:r>
        <w:rPr>
          <w:rFonts w:hint="eastAsia" w:ascii="仿宋_GB2312" w:hAnsi="仿宋_GB2312" w:eastAsia="仿宋_GB2312" w:cs="仿宋_GB2312"/>
          <w:bCs w:val="0"/>
          <w:szCs w:val="32"/>
          <w:highlight w:val="none"/>
          <w:lang w:val="en-US" w:eastAsia="zh-CN"/>
        </w:rPr>
        <w:fldChar w:fldCharType="separate"/>
      </w:r>
      <w:r>
        <w:rPr>
          <w:rFonts w:hint="eastAsia" w:ascii="Arial" w:hAnsi="Arial"/>
          <w:lang w:val="en-US" w:eastAsia="zh-CN"/>
        </w:rPr>
        <w:t>（三）具体措施</w:t>
      </w:r>
      <w:r>
        <w:tab/>
      </w:r>
      <w:r>
        <w:fldChar w:fldCharType="begin"/>
      </w:r>
      <w:r>
        <w:instrText xml:space="preserve"> PAGEREF _Toc21397 \h </w:instrText>
      </w:r>
      <w:r>
        <w:fldChar w:fldCharType="separate"/>
      </w:r>
      <w:r>
        <w:t>47</w:t>
      </w:r>
      <w:r>
        <w:fldChar w:fldCharType="end"/>
      </w:r>
      <w:r>
        <w:rPr>
          <w:rFonts w:hint="eastAsia" w:ascii="仿宋_GB2312" w:hAnsi="仿宋_GB2312" w:eastAsia="仿宋_GB2312" w:cs="仿宋_GB2312"/>
          <w:bCs w:val="0"/>
          <w:szCs w:val="32"/>
          <w:highlight w:val="none"/>
          <w:u w:val="none"/>
          <w:lang w:val="en-US" w:eastAsia="zh-CN"/>
        </w:rPr>
        <w:fldChar w:fldCharType="end"/>
      </w:r>
    </w:p>
    <w:p w14:paraId="4638FB9C">
      <w:pPr>
        <w:pStyle w:val="9"/>
        <w:tabs>
          <w:tab w:val="right" w:leader="dot" w:pos="8306"/>
        </w:tabs>
      </w:pPr>
      <w:r>
        <w:rPr>
          <w:rFonts w:hint="eastAsia" w:ascii="仿宋_GB2312" w:hAnsi="仿宋_GB2312" w:eastAsia="仿宋_GB2312" w:cs="仿宋_GB2312"/>
          <w:bCs w:val="0"/>
          <w:szCs w:val="32"/>
          <w:highlight w:val="none"/>
          <w:u w:val="none"/>
          <w:lang w:val="en-US" w:eastAsia="zh-CN"/>
        </w:rPr>
        <w:fldChar w:fldCharType="begin"/>
      </w:r>
      <w:r>
        <w:rPr>
          <w:rFonts w:hint="eastAsia" w:ascii="仿宋_GB2312" w:hAnsi="仿宋_GB2312" w:eastAsia="仿宋_GB2312" w:cs="仿宋_GB2312"/>
          <w:bCs w:val="0"/>
          <w:szCs w:val="32"/>
          <w:highlight w:val="none"/>
          <w:lang w:val="en-US" w:eastAsia="zh-CN"/>
        </w:rPr>
        <w:instrText xml:space="preserve"> HYPERLINK \l _Toc21462 </w:instrText>
      </w:r>
      <w:r>
        <w:rPr>
          <w:rFonts w:hint="eastAsia" w:ascii="仿宋_GB2312" w:hAnsi="仿宋_GB2312" w:eastAsia="仿宋_GB2312" w:cs="仿宋_GB2312"/>
          <w:bCs w:val="0"/>
          <w:szCs w:val="32"/>
          <w:highlight w:val="none"/>
          <w:lang w:val="en-US" w:eastAsia="zh-CN"/>
        </w:rPr>
        <w:fldChar w:fldCharType="separate"/>
      </w:r>
      <w:r>
        <w:rPr>
          <w:rFonts w:hint="eastAsia"/>
          <w:lang w:val="en-US" w:eastAsia="zh-CN"/>
        </w:rPr>
        <w:t>十二、深化社资社企改革，提升供销系统核心竞争力</w:t>
      </w:r>
      <w:r>
        <w:tab/>
      </w:r>
      <w:r>
        <w:fldChar w:fldCharType="begin"/>
      </w:r>
      <w:r>
        <w:instrText xml:space="preserve"> PAGEREF _Toc21462 \h </w:instrText>
      </w:r>
      <w:r>
        <w:fldChar w:fldCharType="separate"/>
      </w:r>
      <w:r>
        <w:t>49</w:t>
      </w:r>
      <w:r>
        <w:fldChar w:fldCharType="end"/>
      </w:r>
      <w:r>
        <w:rPr>
          <w:rFonts w:hint="eastAsia" w:ascii="仿宋_GB2312" w:hAnsi="仿宋_GB2312" w:eastAsia="仿宋_GB2312" w:cs="仿宋_GB2312"/>
          <w:bCs w:val="0"/>
          <w:szCs w:val="32"/>
          <w:highlight w:val="none"/>
          <w:u w:val="none"/>
          <w:lang w:val="en-US" w:eastAsia="zh-CN"/>
        </w:rPr>
        <w:fldChar w:fldCharType="end"/>
      </w:r>
    </w:p>
    <w:p w14:paraId="6886A26B">
      <w:pPr>
        <w:pStyle w:val="10"/>
        <w:tabs>
          <w:tab w:val="right" w:leader="dot" w:pos="8306"/>
        </w:tabs>
      </w:pPr>
      <w:r>
        <w:rPr>
          <w:rFonts w:hint="eastAsia" w:ascii="仿宋_GB2312" w:hAnsi="仿宋_GB2312" w:eastAsia="仿宋_GB2312" w:cs="仿宋_GB2312"/>
          <w:bCs w:val="0"/>
          <w:szCs w:val="32"/>
          <w:highlight w:val="none"/>
          <w:u w:val="none"/>
          <w:lang w:val="en-US" w:eastAsia="zh-CN"/>
        </w:rPr>
        <w:fldChar w:fldCharType="begin"/>
      </w:r>
      <w:r>
        <w:rPr>
          <w:rFonts w:hint="eastAsia" w:ascii="仿宋_GB2312" w:hAnsi="仿宋_GB2312" w:eastAsia="仿宋_GB2312" w:cs="仿宋_GB2312"/>
          <w:bCs w:val="0"/>
          <w:szCs w:val="32"/>
          <w:highlight w:val="none"/>
          <w:lang w:val="en-US" w:eastAsia="zh-CN"/>
        </w:rPr>
        <w:instrText xml:space="preserve"> HYPERLINK \l _Toc3899 </w:instrText>
      </w:r>
      <w:r>
        <w:rPr>
          <w:rFonts w:hint="eastAsia" w:ascii="仿宋_GB2312" w:hAnsi="仿宋_GB2312" w:eastAsia="仿宋_GB2312" w:cs="仿宋_GB2312"/>
          <w:bCs w:val="0"/>
          <w:szCs w:val="32"/>
          <w:highlight w:val="none"/>
          <w:lang w:val="en-US" w:eastAsia="zh-CN"/>
        </w:rPr>
        <w:fldChar w:fldCharType="separate"/>
      </w:r>
      <w:r>
        <w:rPr>
          <w:rFonts w:hint="eastAsia" w:ascii="Arial" w:hAnsi="Arial"/>
          <w:lang w:val="en-US" w:eastAsia="zh-CN"/>
        </w:rPr>
        <w:t>（一）任务目标</w:t>
      </w:r>
      <w:r>
        <w:tab/>
      </w:r>
      <w:r>
        <w:fldChar w:fldCharType="begin"/>
      </w:r>
      <w:r>
        <w:instrText xml:space="preserve"> PAGEREF _Toc3899 \h </w:instrText>
      </w:r>
      <w:r>
        <w:fldChar w:fldCharType="separate"/>
      </w:r>
      <w:r>
        <w:t>49</w:t>
      </w:r>
      <w:r>
        <w:fldChar w:fldCharType="end"/>
      </w:r>
      <w:r>
        <w:rPr>
          <w:rFonts w:hint="eastAsia" w:ascii="仿宋_GB2312" w:hAnsi="仿宋_GB2312" w:eastAsia="仿宋_GB2312" w:cs="仿宋_GB2312"/>
          <w:bCs w:val="0"/>
          <w:szCs w:val="32"/>
          <w:highlight w:val="none"/>
          <w:u w:val="none"/>
          <w:lang w:val="en-US" w:eastAsia="zh-CN"/>
        </w:rPr>
        <w:fldChar w:fldCharType="end"/>
      </w:r>
    </w:p>
    <w:p w14:paraId="5BF5EDB1">
      <w:pPr>
        <w:pStyle w:val="10"/>
        <w:tabs>
          <w:tab w:val="right" w:leader="dot" w:pos="8306"/>
        </w:tabs>
      </w:pPr>
      <w:r>
        <w:rPr>
          <w:rFonts w:hint="eastAsia" w:ascii="仿宋_GB2312" w:hAnsi="仿宋_GB2312" w:eastAsia="仿宋_GB2312" w:cs="仿宋_GB2312"/>
          <w:bCs w:val="0"/>
          <w:szCs w:val="32"/>
          <w:highlight w:val="none"/>
          <w:u w:val="none"/>
          <w:lang w:val="en-US" w:eastAsia="zh-CN"/>
        </w:rPr>
        <w:fldChar w:fldCharType="begin"/>
      </w:r>
      <w:r>
        <w:rPr>
          <w:rFonts w:hint="eastAsia" w:ascii="仿宋_GB2312" w:hAnsi="仿宋_GB2312" w:eastAsia="仿宋_GB2312" w:cs="仿宋_GB2312"/>
          <w:bCs w:val="0"/>
          <w:szCs w:val="32"/>
          <w:highlight w:val="none"/>
          <w:lang w:val="en-US" w:eastAsia="zh-CN"/>
        </w:rPr>
        <w:instrText xml:space="preserve"> HYPERLINK \l _Toc29953 </w:instrText>
      </w:r>
      <w:r>
        <w:rPr>
          <w:rFonts w:hint="eastAsia" w:ascii="仿宋_GB2312" w:hAnsi="仿宋_GB2312" w:eastAsia="仿宋_GB2312" w:cs="仿宋_GB2312"/>
          <w:bCs w:val="0"/>
          <w:szCs w:val="32"/>
          <w:highlight w:val="none"/>
          <w:lang w:val="en-US" w:eastAsia="zh-CN"/>
        </w:rPr>
        <w:fldChar w:fldCharType="separate"/>
      </w:r>
      <w:r>
        <w:rPr>
          <w:rFonts w:hint="eastAsia" w:ascii="Arial" w:hAnsi="Arial"/>
          <w:lang w:val="en-US" w:eastAsia="zh-CN"/>
        </w:rPr>
        <w:t>（二）分年度计划</w:t>
      </w:r>
      <w:r>
        <w:tab/>
      </w:r>
      <w:r>
        <w:fldChar w:fldCharType="begin"/>
      </w:r>
      <w:r>
        <w:instrText xml:space="preserve"> PAGEREF _Toc29953 \h </w:instrText>
      </w:r>
      <w:r>
        <w:fldChar w:fldCharType="separate"/>
      </w:r>
      <w:r>
        <w:t>50</w:t>
      </w:r>
      <w:r>
        <w:fldChar w:fldCharType="end"/>
      </w:r>
      <w:r>
        <w:rPr>
          <w:rFonts w:hint="eastAsia" w:ascii="仿宋_GB2312" w:hAnsi="仿宋_GB2312" w:eastAsia="仿宋_GB2312" w:cs="仿宋_GB2312"/>
          <w:bCs w:val="0"/>
          <w:szCs w:val="32"/>
          <w:highlight w:val="none"/>
          <w:u w:val="none"/>
          <w:lang w:val="en-US" w:eastAsia="zh-CN"/>
        </w:rPr>
        <w:fldChar w:fldCharType="end"/>
      </w:r>
    </w:p>
    <w:p w14:paraId="6637D5EA">
      <w:pPr>
        <w:pStyle w:val="10"/>
        <w:tabs>
          <w:tab w:val="right" w:leader="dot" w:pos="8306"/>
        </w:tabs>
      </w:pPr>
      <w:r>
        <w:rPr>
          <w:rFonts w:hint="eastAsia" w:ascii="仿宋_GB2312" w:hAnsi="仿宋_GB2312" w:eastAsia="仿宋_GB2312" w:cs="仿宋_GB2312"/>
          <w:bCs w:val="0"/>
          <w:szCs w:val="32"/>
          <w:highlight w:val="none"/>
          <w:u w:val="none"/>
          <w:lang w:val="en-US" w:eastAsia="zh-CN"/>
        </w:rPr>
        <w:fldChar w:fldCharType="begin"/>
      </w:r>
      <w:r>
        <w:rPr>
          <w:rFonts w:hint="eastAsia" w:ascii="仿宋_GB2312" w:hAnsi="仿宋_GB2312" w:eastAsia="仿宋_GB2312" w:cs="仿宋_GB2312"/>
          <w:bCs w:val="0"/>
          <w:szCs w:val="32"/>
          <w:highlight w:val="none"/>
          <w:lang w:val="en-US" w:eastAsia="zh-CN"/>
        </w:rPr>
        <w:instrText xml:space="preserve"> HYPERLINK \l _Toc22140 </w:instrText>
      </w:r>
      <w:r>
        <w:rPr>
          <w:rFonts w:hint="eastAsia" w:ascii="仿宋_GB2312" w:hAnsi="仿宋_GB2312" w:eastAsia="仿宋_GB2312" w:cs="仿宋_GB2312"/>
          <w:bCs w:val="0"/>
          <w:szCs w:val="32"/>
          <w:highlight w:val="none"/>
          <w:lang w:val="en-US" w:eastAsia="zh-CN"/>
        </w:rPr>
        <w:fldChar w:fldCharType="separate"/>
      </w:r>
      <w:r>
        <w:rPr>
          <w:rFonts w:hint="eastAsia" w:ascii="Arial" w:hAnsi="Arial"/>
          <w:lang w:val="en-US" w:eastAsia="zh-CN"/>
        </w:rPr>
        <w:t>（三）主要举措</w:t>
      </w:r>
      <w:r>
        <w:tab/>
      </w:r>
      <w:r>
        <w:fldChar w:fldCharType="begin"/>
      </w:r>
      <w:r>
        <w:instrText xml:space="preserve"> PAGEREF _Toc22140 \h </w:instrText>
      </w:r>
      <w:r>
        <w:fldChar w:fldCharType="separate"/>
      </w:r>
      <w:r>
        <w:t>50</w:t>
      </w:r>
      <w:r>
        <w:fldChar w:fldCharType="end"/>
      </w:r>
      <w:r>
        <w:rPr>
          <w:rFonts w:hint="eastAsia" w:ascii="仿宋_GB2312" w:hAnsi="仿宋_GB2312" w:eastAsia="仿宋_GB2312" w:cs="仿宋_GB2312"/>
          <w:bCs w:val="0"/>
          <w:szCs w:val="32"/>
          <w:highlight w:val="none"/>
          <w:u w:val="none"/>
          <w:lang w:val="en-US" w:eastAsia="zh-CN"/>
        </w:rPr>
        <w:fldChar w:fldCharType="end"/>
      </w:r>
    </w:p>
    <w:p w14:paraId="08C83DAE">
      <w:pPr>
        <w:pStyle w:val="9"/>
        <w:tabs>
          <w:tab w:val="right" w:leader="dot" w:pos="8306"/>
        </w:tabs>
      </w:pPr>
      <w:r>
        <w:rPr>
          <w:rFonts w:hint="eastAsia" w:ascii="仿宋_GB2312" w:hAnsi="仿宋_GB2312" w:eastAsia="仿宋_GB2312" w:cs="仿宋_GB2312"/>
          <w:bCs w:val="0"/>
          <w:szCs w:val="32"/>
          <w:highlight w:val="none"/>
          <w:u w:val="none"/>
          <w:lang w:val="en-US" w:eastAsia="zh-CN"/>
        </w:rPr>
        <w:fldChar w:fldCharType="begin"/>
      </w:r>
      <w:r>
        <w:rPr>
          <w:rFonts w:hint="eastAsia" w:ascii="仿宋_GB2312" w:hAnsi="仿宋_GB2312" w:eastAsia="仿宋_GB2312" w:cs="仿宋_GB2312"/>
          <w:bCs w:val="0"/>
          <w:szCs w:val="32"/>
          <w:highlight w:val="none"/>
          <w:lang w:val="en-US" w:eastAsia="zh-CN"/>
        </w:rPr>
        <w:instrText xml:space="preserve"> HYPERLINK \l _Toc10649 </w:instrText>
      </w:r>
      <w:r>
        <w:rPr>
          <w:rFonts w:hint="eastAsia" w:ascii="仿宋_GB2312" w:hAnsi="仿宋_GB2312" w:eastAsia="仿宋_GB2312" w:cs="仿宋_GB2312"/>
          <w:bCs w:val="0"/>
          <w:szCs w:val="32"/>
          <w:highlight w:val="none"/>
          <w:lang w:val="en-US" w:eastAsia="zh-CN"/>
        </w:rPr>
        <w:fldChar w:fldCharType="separate"/>
      </w:r>
      <w:r>
        <w:rPr>
          <w:rFonts w:hint="eastAsia"/>
          <w:lang w:val="en-US" w:eastAsia="zh-CN"/>
        </w:rPr>
        <w:t>十三、加快双线运行现代治理水平，提升市区社协同力</w:t>
      </w:r>
      <w:r>
        <w:tab/>
      </w:r>
      <w:r>
        <w:fldChar w:fldCharType="begin"/>
      </w:r>
      <w:r>
        <w:instrText xml:space="preserve"> PAGEREF _Toc10649 \h </w:instrText>
      </w:r>
      <w:r>
        <w:fldChar w:fldCharType="separate"/>
      </w:r>
      <w:r>
        <w:t>53</w:t>
      </w:r>
      <w:r>
        <w:fldChar w:fldCharType="end"/>
      </w:r>
      <w:r>
        <w:rPr>
          <w:rFonts w:hint="eastAsia" w:ascii="仿宋_GB2312" w:hAnsi="仿宋_GB2312" w:eastAsia="仿宋_GB2312" w:cs="仿宋_GB2312"/>
          <w:bCs w:val="0"/>
          <w:szCs w:val="32"/>
          <w:highlight w:val="none"/>
          <w:u w:val="none"/>
          <w:lang w:val="en-US" w:eastAsia="zh-CN"/>
        </w:rPr>
        <w:fldChar w:fldCharType="end"/>
      </w:r>
    </w:p>
    <w:p w14:paraId="44C5CC9B">
      <w:pPr>
        <w:pStyle w:val="10"/>
        <w:tabs>
          <w:tab w:val="right" w:leader="dot" w:pos="8306"/>
        </w:tabs>
      </w:pPr>
      <w:r>
        <w:rPr>
          <w:rFonts w:hint="eastAsia" w:ascii="仿宋_GB2312" w:hAnsi="仿宋_GB2312" w:eastAsia="仿宋_GB2312" w:cs="仿宋_GB2312"/>
          <w:bCs w:val="0"/>
          <w:szCs w:val="32"/>
          <w:highlight w:val="none"/>
          <w:u w:val="none"/>
          <w:lang w:val="en-US" w:eastAsia="zh-CN"/>
        </w:rPr>
        <w:fldChar w:fldCharType="begin"/>
      </w:r>
      <w:r>
        <w:rPr>
          <w:rFonts w:hint="eastAsia" w:ascii="仿宋_GB2312" w:hAnsi="仿宋_GB2312" w:eastAsia="仿宋_GB2312" w:cs="仿宋_GB2312"/>
          <w:bCs w:val="0"/>
          <w:szCs w:val="32"/>
          <w:highlight w:val="none"/>
          <w:lang w:val="en-US" w:eastAsia="zh-CN"/>
        </w:rPr>
        <w:instrText xml:space="preserve"> HYPERLINK \l _Toc31175 </w:instrText>
      </w:r>
      <w:r>
        <w:rPr>
          <w:rFonts w:hint="eastAsia" w:ascii="仿宋_GB2312" w:hAnsi="仿宋_GB2312" w:eastAsia="仿宋_GB2312" w:cs="仿宋_GB2312"/>
          <w:bCs w:val="0"/>
          <w:szCs w:val="32"/>
          <w:highlight w:val="none"/>
          <w:lang w:val="en-US" w:eastAsia="zh-CN"/>
        </w:rPr>
        <w:fldChar w:fldCharType="separate"/>
      </w:r>
      <w:r>
        <w:rPr>
          <w:rFonts w:hint="eastAsia"/>
        </w:rPr>
        <w:t>（一）任务目标</w:t>
      </w:r>
      <w:r>
        <w:tab/>
      </w:r>
      <w:r>
        <w:fldChar w:fldCharType="begin"/>
      </w:r>
      <w:r>
        <w:instrText xml:space="preserve"> PAGEREF _Toc31175 \h </w:instrText>
      </w:r>
      <w:r>
        <w:fldChar w:fldCharType="separate"/>
      </w:r>
      <w:r>
        <w:t>53</w:t>
      </w:r>
      <w:r>
        <w:fldChar w:fldCharType="end"/>
      </w:r>
      <w:r>
        <w:rPr>
          <w:rFonts w:hint="eastAsia" w:ascii="仿宋_GB2312" w:hAnsi="仿宋_GB2312" w:eastAsia="仿宋_GB2312" w:cs="仿宋_GB2312"/>
          <w:bCs w:val="0"/>
          <w:szCs w:val="32"/>
          <w:highlight w:val="none"/>
          <w:u w:val="none"/>
          <w:lang w:val="en-US" w:eastAsia="zh-CN"/>
        </w:rPr>
        <w:fldChar w:fldCharType="end"/>
      </w:r>
    </w:p>
    <w:p w14:paraId="55D2FFE9">
      <w:pPr>
        <w:pStyle w:val="10"/>
        <w:tabs>
          <w:tab w:val="right" w:leader="dot" w:pos="8306"/>
        </w:tabs>
      </w:pPr>
      <w:r>
        <w:rPr>
          <w:rFonts w:hint="eastAsia" w:ascii="仿宋_GB2312" w:hAnsi="仿宋_GB2312" w:eastAsia="仿宋_GB2312" w:cs="仿宋_GB2312"/>
          <w:bCs w:val="0"/>
          <w:szCs w:val="32"/>
          <w:highlight w:val="none"/>
          <w:u w:val="none"/>
          <w:lang w:val="en-US" w:eastAsia="zh-CN"/>
        </w:rPr>
        <w:fldChar w:fldCharType="begin"/>
      </w:r>
      <w:r>
        <w:rPr>
          <w:rFonts w:hint="eastAsia" w:ascii="仿宋_GB2312" w:hAnsi="仿宋_GB2312" w:eastAsia="仿宋_GB2312" w:cs="仿宋_GB2312"/>
          <w:bCs w:val="0"/>
          <w:szCs w:val="32"/>
          <w:highlight w:val="none"/>
          <w:lang w:val="en-US" w:eastAsia="zh-CN"/>
        </w:rPr>
        <w:instrText xml:space="preserve"> HYPERLINK \l _Toc23582 </w:instrText>
      </w:r>
      <w:r>
        <w:rPr>
          <w:rFonts w:hint="eastAsia" w:ascii="仿宋_GB2312" w:hAnsi="仿宋_GB2312" w:eastAsia="仿宋_GB2312" w:cs="仿宋_GB2312"/>
          <w:bCs w:val="0"/>
          <w:szCs w:val="32"/>
          <w:highlight w:val="none"/>
          <w:lang w:val="en-US" w:eastAsia="zh-CN"/>
        </w:rPr>
        <w:fldChar w:fldCharType="separate"/>
      </w:r>
      <w:r>
        <w:rPr>
          <w:rFonts w:hint="eastAsia" w:ascii="Arial" w:hAnsi="Arial"/>
        </w:rPr>
        <w:t>（二）分年度计划</w:t>
      </w:r>
      <w:r>
        <w:tab/>
      </w:r>
      <w:r>
        <w:fldChar w:fldCharType="begin"/>
      </w:r>
      <w:r>
        <w:instrText xml:space="preserve"> PAGEREF _Toc23582 \h </w:instrText>
      </w:r>
      <w:r>
        <w:fldChar w:fldCharType="separate"/>
      </w:r>
      <w:r>
        <w:t>53</w:t>
      </w:r>
      <w:r>
        <w:fldChar w:fldCharType="end"/>
      </w:r>
      <w:r>
        <w:rPr>
          <w:rFonts w:hint="eastAsia" w:ascii="仿宋_GB2312" w:hAnsi="仿宋_GB2312" w:eastAsia="仿宋_GB2312" w:cs="仿宋_GB2312"/>
          <w:bCs w:val="0"/>
          <w:szCs w:val="32"/>
          <w:highlight w:val="none"/>
          <w:u w:val="none"/>
          <w:lang w:val="en-US" w:eastAsia="zh-CN"/>
        </w:rPr>
        <w:fldChar w:fldCharType="end"/>
      </w:r>
    </w:p>
    <w:p w14:paraId="52FEB3DC">
      <w:pPr>
        <w:pStyle w:val="10"/>
        <w:tabs>
          <w:tab w:val="right" w:leader="dot" w:pos="8306"/>
        </w:tabs>
      </w:pPr>
      <w:r>
        <w:rPr>
          <w:rFonts w:hint="eastAsia" w:ascii="仿宋_GB2312" w:hAnsi="仿宋_GB2312" w:eastAsia="仿宋_GB2312" w:cs="仿宋_GB2312"/>
          <w:bCs w:val="0"/>
          <w:szCs w:val="32"/>
          <w:highlight w:val="none"/>
          <w:u w:val="none"/>
          <w:lang w:val="en-US" w:eastAsia="zh-CN"/>
        </w:rPr>
        <w:fldChar w:fldCharType="begin"/>
      </w:r>
      <w:r>
        <w:rPr>
          <w:rFonts w:hint="eastAsia" w:ascii="仿宋_GB2312" w:hAnsi="仿宋_GB2312" w:eastAsia="仿宋_GB2312" w:cs="仿宋_GB2312"/>
          <w:bCs w:val="0"/>
          <w:szCs w:val="32"/>
          <w:highlight w:val="none"/>
          <w:lang w:val="en-US" w:eastAsia="zh-CN"/>
        </w:rPr>
        <w:instrText xml:space="preserve"> HYPERLINK \l _Toc28200 </w:instrText>
      </w:r>
      <w:r>
        <w:rPr>
          <w:rFonts w:hint="eastAsia" w:ascii="仿宋_GB2312" w:hAnsi="仿宋_GB2312" w:eastAsia="仿宋_GB2312" w:cs="仿宋_GB2312"/>
          <w:bCs w:val="0"/>
          <w:szCs w:val="32"/>
          <w:highlight w:val="none"/>
          <w:lang w:val="en-US" w:eastAsia="zh-CN"/>
        </w:rPr>
        <w:fldChar w:fldCharType="separate"/>
      </w:r>
      <w:r>
        <w:rPr>
          <w:rFonts w:hint="eastAsia" w:ascii="Arial" w:hAnsi="Arial"/>
        </w:rPr>
        <w:t>（三）具体措施</w:t>
      </w:r>
      <w:r>
        <w:tab/>
      </w:r>
      <w:r>
        <w:fldChar w:fldCharType="begin"/>
      </w:r>
      <w:r>
        <w:instrText xml:space="preserve"> PAGEREF _Toc28200 \h </w:instrText>
      </w:r>
      <w:r>
        <w:fldChar w:fldCharType="separate"/>
      </w:r>
      <w:r>
        <w:t>54</w:t>
      </w:r>
      <w:r>
        <w:fldChar w:fldCharType="end"/>
      </w:r>
      <w:r>
        <w:rPr>
          <w:rFonts w:hint="eastAsia" w:ascii="仿宋_GB2312" w:hAnsi="仿宋_GB2312" w:eastAsia="仿宋_GB2312" w:cs="仿宋_GB2312"/>
          <w:bCs w:val="0"/>
          <w:szCs w:val="32"/>
          <w:highlight w:val="none"/>
          <w:u w:val="none"/>
          <w:lang w:val="en-US" w:eastAsia="zh-CN"/>
        </w:rPr>
        <w:fldChar w:fldCharType="end"/>
      </w:r>
    </w:p>
    <w:p w14:paraId="35D00906">
      <w:pPr>
        <w:pStyle w:val="9"/>
        <w:tabs>
          <w:tab w:val="right" w:leader="dot" w:pos="8306"/>
        </w:tabs>
      </w:pPr>
      <w:r>
        <w:rPr>
          <w:rFonts w:hint="eastAsia" w:ascii="仿宋_GB2312" w:hAnsi="仿宋_GB2312" w:eastAsia="仿宋_GB2312" w:cs="仿宋_GB2312"/>
          <w:bCs w:val="0"/>
          <w:szCs w:val="32"/>
          <w:highlight w:val="none"/>
          <w:u w:val="none"/>
          <w:lang w:val="en-US" w:eastAsia="zh-CN"/>
        </w:rPr>
        <w:fldChar w:fldCharType="begin"/>
      </w:r>
      <w:r>
        <w:rPr>
          <w:rFonts w:hint="eastAsia" w:ascii="仿宋_GB2312" w:hAnsi="仿宋_GB2312" w:eastAsia="仿宋_GB2312" w:cs="仿宋_GB2312"/>
          <w:bCs w:val="0"/>
          <w:szCs w:val="32"/>
          <w:highlight w:val="none"/>
          <w:lang w:val="en-US" w:eastAsia="zh-CN"/>
        </w:rPr>
        <w:instrText xml:space="preserve"> HYPERLINK \l _Toc14287 </w:instrText>
      </w:r>
      <w:r>
        <w:rPr>
          <w:rFonts w:hint="eastAsia" w:ascii="仿宋_GB2312" w:hAnsi="仿宋_GB2312" w:eastAsia="仿宋_GB2312" w:cs="仿宋_GB2312"/>
          <w:bCs w:val="0"/>
          <w:szCs w:val="32"/>
          <w:highlight w:val="none"/>
          <w:lang w:val="en-US" w:eastAsia="zh-CN"/>
        </w:rPr>
        <w:fldChar w:fldCharType="separate"/>
      </w:r>
      <w:r>
        <w:rPr>
          <w:rFonts w:hint="eastAsia"/>
          <w:lang w:val="en-US" w:eastAsia="zh-CN"/>
        </w:rPr>
        <w:t>十四、加强供销文化建设，提升供销系统凝聚力</w:t>
      </w:r>
      <w:r>
        <w:tab/>
      </w:r>
      <w:r>
        <w:fldChar w:fldCharType="begin"/>
      </w:r>
      <w:r>
        <w:instrText xml:space="preserve"> PAGEREF _Toc14287 \h </w:instrText>
      </w:r>
      <w:r>
        <w:fldChar w:fldCharType="separate"/>
      </w:r>
      <w:r>
        <w:t>55</w:t>
      </w:r>
      <w:r>
        <w:fldChar w:fldCharType="end"/>
      </w:r>
      <w:r>
        <w:rPr>
          <w:rFonts w:hint="eastAsia" w:ascii="仿宋_GB2312" w:hAnsi="仿宋_GB2312" w:eastAsia="仿宋_GB2312" w:cs="仿宋_GB2312"/>
          <w:bCs w:val="0"/>
          <w:szCs w:val="32"/>
          <w:highlight w:val="none"/>
          <w:u w:val="none"/>
          <w:lang w:val="en-US" w:eastAsia="zh-CN"/>
        </w:rPr>
        <w:fldChar w:fldCharType="end"/>
      </w:r>
    </w:p>
    <w:p w14:paraId="74D62CF7">
      <w:pPr>
        <w:pStyle w:val="10"/>
        <w:tabs>
          <w:tab w:val="right" w:leader="dot" w:pos="8306"/>
        </w:tabs>
      </w:pPr>
      <w:r>
        <w:rPr>
          <w:rFonts w:hint="eastAsia" w:ascii="仿宋_GB2312" w:hAnsi="仿宋_GB2312" w:eastAsia="仿宋_GB2312" w:cs="仿宋_GB2312"/>
          <w:bCs w:val="0"/>
          <w:szCs w:val="32"/>
          <w:highlight w:val="none"/>
          <w:u w:val="none"/>
          <w:lang w:val="en-US" w:eastAsia="zh-CN"/>
        </w:rPr>
        <w:fldChar w:fldCharType="begin"/>
      </w:r>
      <w:r>
        <w:rPr>
          <w:rFonts w:hint="eastAsia" w:ascii="仿宋_GB2312" w:hAnsi="仿宋_GB2312" w:eastAsia="仿宋_GB2312" w:cs="仿宋_GB2312"/>
          <w:bCs w:val="0"/>
          <w:szCs w:val="32"/>
          <w:highlight w:val="none"/>
          <w:lang w:val="en-US" w:eastAsia="zh-CN"/>
        </w:rPr>
        <w:instrText xml:space="preserve"> HYPERLINK \l _Toc6839 </w:instrText>
      </w:r>
      <w:r>
        <w:rPr>
          <w:rFonts w:hint="eastAsia" w:ascii="仿宋_GB2312" w:hAnsi="仿宋_GB2312" w:eastAsia="仿宋_GB2312" w:cs="仿宋_GB2312"/>
          <w:bCs w:val="0"/>
          <w:szCs w:val="32"/>
          <w:highlight w:val="none"/>
          <w:lang w:val="en-US" w:eastAsia="zh-CN"/>
        </w:rPr>
        <w:fldChar w:fldCharType="separate"/>
      </w:r>
      <w:r>
        <w:rPr>
          <w:rFonts w:hint="eastAsia" w:ascii="Arial" w:hAnsi="Arial"/>
          <w:lang w:val="en-US" w:eastAsia="zh-CN"/>
        </w:rPr>
        <w:t>（一）任务目标</w:t>
      </w:r>
      <w:r>
        <w:tab/>
      </w:r>
      <w:r>
        <w:fldChar w:fldCharType="begin"/>
      </w:r>
      <w:r>
        <w:instrText xml:space="preserve"> PAGEREF _Toc6839 \h </w:instrText>
      </w:r>
      <w:r>
        <w:fldChar w:fldCharType="separate"/>
      </w:r>
      <w:r>
        <w:t>55</w:t>
      </w:r>
      <w:r>
        <w:fldChar w:fldCharType="end"/>
      </w:r>
      <w:r>
        <w:rPr>
          <w:rFonts w:hint="eastAsia" w:ascii="仿宋_GB2312" w:hAnsi="仿宋_GB2312" w:eastAsia="仿宋_GB2312" w:cs="仿宋_GB2312"/>
          <w:bCs w:val="0"/>
          <w:szCs w:val="32"/>
          <w:highlight w:val="none"/>
          <w:u w:val="none"/>
          <w:lang w:val="en-US" w:eastAsia="zh-CN"/>
        </w:rPr>
        <w:fldChar w:fldCharType="end"/>
      </w:r>
    </w:p>
    <w:p w14:paraId="0063ADEB">
      <w:pPr>
        <w:pStyle w:val="10"/>
        <w:tabs>
          <w:tab w:val="right" w:leader="dot" w:pos="8306"/>
        </w:tabs>
      </w:pPr>
      <w:r>
        <w:rPr>
          <w:rFonts w:hint="eastAsia" w:ascii="仿宋_GB2312" w:hAnsi="仿宋_GB2312" w:eastAsia="仿宋_GB2312" w:cs="仿宋_GB2312"/>
          <w:bCs w:val="0"/>
          <w:szCs w:val="32"/>
          <w:highlight w:val="none"/>
          <w:u w:val="none"/>
          <w:lang w:val="en-US" w:eastAsia="zh-CN"/>
        </w:rPr>
        <w:fldChar w:fldCharType="begin"/>
      </w:r>
      <w:r>
        <w:rPr>
          <w:rFonts w:hint="eastAsia" w:ascii="仿宋_GB2312" w:hAnsi="仿宋_GB2312" w:eastAsia="仿宋_GB2312" w:cs="仿宋_GB2312"/>
          <w:bCs w:val="0"/>
          <w:szCs w:val="32"/>
          <w:highlight w:val="none"/>
          <w:lang w:val="en-US" w:eastAsia="zh-CN"/>
        </w:rPr>
        <w:instrText xml:space="preserve"> HYPERLINK \l _Toc13525 </w:instrText>
      </w:r>
      <w:r>
        <w:rPr>
          <w:rFonts w:hint="eastAsia" w:ascii="仿宋_GB2312" w:hAnsi="仿宋_GB2312" w:eastAsia="仿宋_GB2312" w:cs="仿宋_GB2312"/>
          <w:bCs w:val="0"/>
          <w:szCs w:val="32"/>
          <w:highlight w:val="none"/>
          <w:lang w:val="en-US" w:eastAsia="zh-CN"/>
        </w:rPr>
        <w:fldChar w:fldCharType="separate"/>
      </w:r>
      <w:r>
        <w:rPr>
          <w:rFonts w:hint="eastAsia" w:ascii="Arial" w:hAnsi="Arial"/>
          <w:lang w:val="en-US" w:eastAsia="zh-CN"/>
        </w:rPr>
        <w:t>（二）分年度计划</w:t>
      </w:r>
      <w:r>
        <w:tab/>
      </w:r>
      <w:r>
        <w:fldChar w:fldCharType="begin"/>
      </w:r>
      <w:r>
        <w:instrText xml:space="preserve"> PAGEREF _Toc13525 \h </w:instrText>
      </w:r>
      <w:r>
        <w:fldChar w:fldCharType="separate"/>
      </w:r>
      <w:r>
        <w:t>55</w:t>
      </w:r>
      <w:r>
        <w:fldChar w:fldCharType="end"/>
      </w:r>
      <w:r>
        <w:rPr>
          <w:rFonts w:hint="eastAsia" w:ascii="仿宋_GB2312" w:hAnsi="仿宋_GB2312" w:eastAsia="仿宋_GB2312" w:cs="仿宋_GB2312"/>
          <w:bCs w:val="0"/>
          <w:szCs w:val="32"/>
          <w:highlight w:val="none"/>
          <w:u w:val="none"/>
          <w:lang w:val="en-US" w:eastAsia="zh-CN"/>
        </w:rPr>
        <w:fldChar w:fldCharType="end"/>
      </w:r>
    </w:p>
    <w:p w14:paraId="5E6C26CF">
      <w:pPr>
        <w:pStyle w:val="10"/>
        <w:tabs>
          <w:tab w:val="right" w:leader="dot" w:pos="8306"/>
        </w:tabs>
      </w:pPr>
      <w:r>
        <w:rPr>
          <w:rFonts w:hint="eastAsia" w:ascii="仿宋_GB2312" w:hAnsi="仿宋_GB2312" w:eastAsia="仿宋_GB2312" w:cs="仿宋_GB2312"/>
          <w:bCs w:val="0"/>
          <w:szCs w:val="32"/>
          <w:highlight w:val="none"/>
          <w:u w:val="none"/>
          <w:lang w:val="en-US" w:eastAsia="zh-CN"/>
        </w:rPr>
        <w:fldChar w:fldCharType="begin"/>
      </w:r>
      <w:r>
        <w:rPr>
          <w:rFonts w:hint="eastAsia" w:ascii="仿宋_GB2312" w:hAnsi="仿宋_GB2312" w:eastAsia="仿宋_GB2312" w:cs="仿宋_GB2312"/>
          <w:bCs w:val="0"/>
          <w:szCs w:val="32"/>
          <w:highlight w:val="none"/>
          <w:lang w:val="en-US" w:eastAsia="zh-CN"/>
        </w:rPr>
        <w:instrText xml:space="preserve"> HYPERLINK \l _Toc22183 </w:instrText>
      </w:r>
      <w:r>
        <w:rPr>
          <w:rFonts w:hint="eastAsia" w:ascii="仿宋_GB2312" w:hAnsi="仿宋_GB2312" w:eastAsia="仿宋_GB2312" w:cs="仿宋_GB2312"/>
          <w:bCs w:val="0"/>
          <w:szCs w:val="32"/>
          <w:highlight w:val="none"/>
          <w:lang w:val="en-US" w:eastAsia="zh-CN"/>
        </w:rPr>
        <w:fldChar w:fldCharType="separate"/>
      </w:r>
      <w:r>
        <w:rPr>
          <w:rFonts w:hint="eastAsia" w:ascii="Arial" w:hAnsi="Arial"/>
          <w:lang w:eastAsia="zh-CN"/>
        </w:rPr>
        <w:t>（</w:t>
      </w:r>
      <w:r>
        <w:rPr>
          <w:rFonts w:hint="eastAsia" w:ascii="Arial" w:hAnsi="Arial"/>
          <w:lang w:val="en-US" w:eastAsia="zh-CN"/>
        </w:rPr>
        <w:t>三</w:t>
      </w:r>
      <w:r>
        <w:rPr>
          <w:rFonts w:hint="eastAsia" w:ascii="Arial" w:hAnsi="Arial"/>
          <w:lang w:eastAsia="zh-CN"/>
        </w:rPr>
        <w:t>）</w:t>
      </w:r>
      <w:r>
        <w:rPr>
          <w:rFonts w:hint="eastAsia" w:ascii="Arial" w:hAnsi="Arial"/>
          <w:lang w:val="en-US" w:eastAsia="zh-CN"/>
        </w:rPr>
        <w:t>具体措施</w:t>
      </w:r>
      <w:r>
        <w:tab/>
      </w:r>
      <w:r>
        <w:fldChar w:fldCharType="begin"/>
      </w:r>
      <w:r>
        <w:instrText xml:space="preserve"> PAGEREF _Toc22183 \h </w:instrText>
      </w:r>
      <w:r>
        <w:fldChar w:fldCharType="separate"/>
      </w:r>
      <w:r>
        <w:t>56</w:t>
      </w:r>
      <w:r>
        <w:fldChar w:fldCharType="end"/>
      </w:r>
      <w:r>
        <w:rPr>
          <w:rFonts w:hint="eastAsia" w:ascii="仿宋_GB2312" w:hAnsi="仿宋_GB2312" w:eastAsia="仿宋_GB2312" w:cs="仿宋_GB2312"/>
          <w:bCs w:val="0"/>
          <w:szCs w:val="32"/>
          <w:highlight w:val="none"/>
          <w:u w:val="none"/>
          <w:lang w:val="en-US" w:eastAsia="zh-CN"/>
        </w:rPr>
        <w:fldChar w:fldCharType="end"/>
      </w:r>
    </w:p>
    <w:p w14:paraId="3616730C">
      <w:pPr>
        <w:pStyle w:val="9"/>
        <w:tabs>
          <w:tab w:val="right" w:leader="dot" w:pos="8306"/>
        </w:tabs>
      </w:pPr>
      <w:r>
        <w:rPr>
          <w:rFonts w:hint="eastAsia" w:ascii="仿宋_GB2312" w:hAnsi="仿宋_GB2312" w:eastAsia="仿宋_GB2312" w:cs="仿宋_GB2312"/>
          <w:bCs w:val="0"/>
          <w:szCs w:val="32"/>
          <w:highlight w:val="none"/>
          <w:u w:val="none"/>
          <w:lang w:val="en-US" w:eastAsia="zh-CN"/>
        </w:rPr>
        <w:fldChar w:fldCharType="begin"/>
      </w:r>
      <w:r>
        <w:rPr>
          <w:rFonts w:hint="eastAsia" w:ascii="仿宋_GB2312" w:hAnsi="仿宋_GB2312" w:eastAsia="仿宋_GB2312" w:cs="仿宋_GB2312"/>
          <w:bCs w:val="0"/>
          <w:szCs w:val="32"/>
          <w:highlight w:val="none"/>
          <w:lang w:val="en-US" w:eastAsia="zh-CN"/>
        </w:rPr>
        <w:instrText xml:space="preserve"> HYPERLINK \l _Toc13979 </w:instrText>
      </w:r>
      <w:r>
        <w:rPr>
          <w:rFonts w:hint="eastAsia" w:ascii="仿宋_GB2312" w:hAnsi="仿宋_GB2312" w:eastAsia="仿宋_GB2312" w:cs="仿宋_GB2312"/>
          <w:bCs w:val="0"/>
          <w:szCs w:val="32"/>
          <w:highlight w:val="none"/>
          <w:lang w:val="en-US" w:eastAsia="zh-CN"/>
        </w:rPr>
        <w:fldChar w:fldCharType="separate"/>
      </w:r>
      <w:r>
        <w:rPr>
          <w:rFonts w:hint="eastAsia"/>
          <w:lang w:val="en-US" w:eastAsia="zh-CN"/>
        </w:rPr>
        <w:t>十五、统筹发展和安全，建设“平安供销”</w:t>
      </w:r>
      <w:r>
        <w:tab/>
      </w:r>
      <w:r>
        <w:fldChar w:fldCharType="begin"/>
      </w:r>
      <w:r>
        <w:instrText xml:space="preserve"> PAGEREF _Toc13979 \h </w:instrText>
      </w:r>
      <w:r>
        <w:fldChar w:fldCharType="separate"/>
      </w:r>
      <w:r>
        <w:t>59</w:t>
      </w:r>
      <w:r>
        <w:fldChar w:fldCharType="end"/>
      </w:r>
      <w:r>
        <w:rPr>
          <w:rFonts w:hint="eastAsia" w:ascii="仿宋_GB2312" w:hAnsi="仿宋_GB2312" w:eastAsia="仿宋_GB2312" w:cs="仿宋_GB2312"/>
          <w:bCs w:val="0"/>
          <w:szCs w:val="32"/>
          <w:highlight w:val="none"/>
          <w:u w:val="none"/>
          <w:lang w:val="en-US" w:eastAsia="zh-CN"/>
        </w:rPr>
        <w:fldChar w:fldCharType="end"/>
      </w:r>
    </w:p>
    <w:p w14:paraId="50C6B543">
      <w:pPr>
        <w:pStyle w:val="10"/>
        <w:tabs>
          <w:tab w:val="right" w:leader="dot" w:pos="8306"/>
        </w:tabs>
      </w:pPr>
      <w:r>
        <w:rPr>
          <w:rFonts w:hint="eastAsia" w:ascii="仿宋_GB2312" w:hAnsi="仿宋_GB2312" w:eastAsia="仿宋_GB2312" w:cs="仿宋_GB2312"/>
          <w:bCs w:val="0"/>
          <w:szCs w:val="32"/>
          <w:highlight w:val="none"/>
          <w:u w:val="none"/>
          <w:lang w:val="en-US" w:eastAsia="zh-CN"/>
        </w:rPr>
        <w:fldChar w:fldCharType="begin"/>
      </w:r>
      <w:r>
        <w:rPr>
          <w:rFonts w:hint="eastAsia" w:ascii="仿宋_GB2312" w:hAnsi="仿宋_GB2312" w:eastAsia="仿宋_GB2312" w:cs="仿宋_GB2312"/>
          <w:bCs w:val="0"/>
          <w:szCs w:val="32"/>
          <w:highlight w:val="none"/>
          <w:lang w:val="en-US" w:eastAsia="zh-CN"/>
        </w:rPr>
        <w:instrText xml:space="preserve"> HYPERLINK \l _Toc17585 </w:instrText>
      </w:r>
      <w:r>
        <w:rPr>
          <w:rFonts w:hint="eastAsia" w:ascii="仿宋_GB2312" w:hAnsi="仿宋_GB2312" w:eastAsia="仿宋_GB2312" w:cs="仿宋_GB2312"/>
          <w:bCs w:val="0"/>
          <w:szCs w:val="32"/>
          <w:highlight w:val="none"/>
          <w:lang w:val="en-US" w:eastAsia="zh-CN"/>
        </w:rPr>
        <w:fldChar w:fldCharType="separate"/>
      </w:r>
      <w:r>
        <w:rPr>
          <w:rFonts w:hint="eastAsia" w:ascii="Arial" w:hAnsi="Arial"/>
          <w:lang w:val="en-US" w:eastAsia="zh-CN"/>
        </w:rPr>
        <w:t>（一）</w:t>
      </w:r>
      <w:r>
        <w:rPr>
          <w:rFonts w:hint="default" w:ascii="Arial" w:hAnsi="Arial"/>
          <w:lang w:val="en-US" w:eastAsia="zh-CN"/>
        </w:rPr>
        <w:t>任务目标</w:t>
      </w:r>
      <w:r>
        <w:tab/>
      </w:r>
      <w:r>
        <w:fldChar w:fldCharType="begin"/>
      </w:r>
      <w:r>
        <w:instrText xml:space="preserve"> PAGEREF _Toc17585 \h </w:instrText>
      </w:r>
      <w:r>
        <w:fldChar w:fldCharType="separate"/>
      </w:r>
      <w:r>
        <w:t>59</w:t>
      </w:r>
      <w:r>
        <w:fldChar w:fldCharType="end"/>
      </w:r>
      <w:r>
        <w:rPr>
          <w:rFonts w:hint="eastAsia" w:ascii="仿宋_GB2312" w:hAnsi="仿宋_GB2312" w:eastAsia="仿宋_GB2312" w:cs="仿宋_GB2312"/>
          <w:bCs w:val="0"/>
          <w:szCs w:val="32"/>
          <w:highlight w:val="none"/>
          <w:u w:val="none"/>
          <w:lang w:val="en-US" w:eastAsia="zh-CN"/>
        </w:rPr>
        <w:fldChar w:fldCharType="end"/>
      </w:r>
    </w:p>
    <w:p w14:paraId="70D5A262">
      <w:pPr>
        <w:pStyle w:val="10"/>
        <w:tabs>
          <w:tab w:val="right" w:leader="dot" w:pos="8306"/>
        </w:tabs>
      </w:pPr>
      <w:r>
        <w:rPr>
          <w:rFonts w:hint="eastAsia" w:ascii="仿宋_GB2312" w:hAnsi="仿宋_GB2312" w:eastAsia="仿宋_GB2312" w:cs="仿宋_GB2312"/>
          <w:bCs w:val="0"/>
          <w:szCs w:val="32"/>
          <w:highlight w:val="none"/>
          <w:u w:val="none"/>
          <w:lang w:val="en-US" w:eastAsia="zh-CN"/>
        </w:rPr>
        <w:fldChar w:fldCharType="begin"/>
      </w:r>
      <w:r>
        <w:rPr>
          <w:rFonts w:hint="eastAsia" w:ascii="仿宋_GB2312" w:hAnsi="仿宋_GB2312" w:eastAsia="仿宋_GB2312" w:cs="仿宋_GB2312"/>
          <w:bCs w:val="0"/>
          <w:szCs w:val="32"/>
          <w:highlight w:val="none"/>
          <w:lang w:val="en-US" w:eastAsia="zh-CN"/>
        </w:rPr>
        <w:instrText xml:space="preserve"> HYPERLINK \l _Toc22024 </w:instrText>
      </w:r>
      <w:r>
        <w:rPr>
          <w:rFonts w:hint="eastAsia" w:ascii="仿宋_GB2312" w:hAnsi="仿宋_GB2312" w:eastAsia="仿宋_GB2312" w:cs="仿宋_GB2312"/>
          <w:bCs w:val="0"/>
          <w:szCs w:val="32"/>
          <w:highlight w:val="none"/>
          <w:lang w:val="en-US" w:eastAsia="zh-CN"/>
        </w:rPr>
        <w:fldChar w:fldCharType="separate"/>
      </w:r>
      <w:r>
        <w:rPr>
          <w:rFonts w:hint="eastAsia" w:ascii="Arial" w:hAnsi="Arial"/>
          <w:lang w:val="en-US" w:eastAsia="zh-CN"/>
        </w:rPr>
        <w:t>（二）分年度计划</w:t>
      </w:r>
      <w:r>
        <w:tab/>
      </w:r>
      <w:r>
        <w:fldChar w:fldCharType="begin"/>
      </w:r>
      <w:r>
        <w:instrText xml:space="preserve"> PAGEREF _Toc22024 \h </w:instrText>
      </w:r>
      <w:r>
        <w:fldChar w:fldCharType="separate"/>
      </w:r>
      <w:r>
        <w:t>59</w:t>
      </w:r>
      <w:r>
        <w:fldChar w:fldCharType="end"/>
      </w:r>
      <w:r>
        <w:rPr>
          <w:rFonts w:hint="eastAsia" w:ascii="仿宋_GB2312" w:hAnsi="仿宋_GB2312" w:eastAsia="仿宋_GB2312" w:cs="仿宋_GB2312"/>
          <w:bCs w:val="0"/>
          <w:szCs w:val="32"/>
          <w:highlight w:val="none"/>
          <w:u w:val="none"/>
          <w:lang w:val="en-US" w:eastAsia="zh-CN"/>
        </w:rPr>
        <w:fldChar w:fldCharType="end"/>
      </w:r>
    </w:p>
    <w:p w14:paraId="4C7BE4F9">
      <w:pPr>
        <w:pStyle w:val="10"/>
        <w:tabs>
          <w:tab w:val="right" w:leader="dot" w:pos="8306"/>
        </w:tabs>
      </w:pPr>
      <w:r>
        <w:rPr>
          <w:rFonts w:hint="eastAsia" w:ascii="仿宋_GB2312" w:hAnsi="仿宋_GB2312" w:eastAsia="仿宋_GB2312" w:cs="仿宋_GB2312"/>
          <w:bCs w:val="0"/>
          <w:szCs w:val="32"/>
          <w:highlight w:val="none"/>
          <w:u w:val="none"/>
          <w:lang w:val="en-US" w:eastAsia="zh-CN"/>
        </w:rPr>
        <w:fldChar w:fldCharType="begin"/>
      </w:r>
      <w:r>
        <w:rPr>
          <w:rFonts w:hint="eastAsia" w:ascii="仿宋_GB2312" w:hAnsi="仿宋_GB2312" w:eastAsia="仿宋_GB2312" w:cs="仿宋_GB2312"/>
          <w:bCs w:val="0"/>
          <w:szCs w:val="32"/>
          <w:highlight w:val="none"/>
          <w:lang w:val="en-US" w:eastAsia="zh-CN"/>
        </w:rPr>
        <w:instrText xml:space="preserve"> HYPERLINK \l _Toc24299 </w:instrText>
      </w:r>
      <w:r>
        <w:rPr>
          <w:rFonts w:hint="eastAsia" w:ascii="仿宋_GB2312" w:hAnsi="仿宋_GB2312" w:eastAsia="仿宋_GB2312" w:cs="仿宋_GB2312"/>
          <w:bCs w:val="0"/>
          <w:szCs w:val="32"/>
          <w:highlight w:val="none"/>
          <w:lang w:val="en-US" w:eastAsia="zh-CN"/>
        </w:rPr>
        <w:fldChar w:fldCharType="separate"/>
      </w:r>
      <w:r>
        <w:rPr>
          <w:rFonts w:hint="eastAsia" w:ascii="Arial" w:hAnsi="Arial"/>
          <w:lang w:eastAsia="zh-CN"/>
        </w:rPr>
        <w:t>（</w:t>
      </w:r>
      <w:r>
        <w:rPr>
          <w:rFonts w:hint="eastAsia" w:ascii="Arial" w:hAnsi="Arial"/>
          <w:lang w:val="en-US" w:eastAsia="zh-CN"/>
        </w:rPr>
        <w:t>三</w:t>
      </w:r>
      <w:r>
        <w:rPr>
          <w:rFonts w:hint="eastAsia" w:ascii="Arial" w:hAnsi="Arial"/>
          <w:lang w:eastAsia="zh-CN"/>
        </w:rPr>
        <w:t>）</w:t>
      </w:r>
      <w:r>
        <w:rPr>
          <w:rFonts w:hint="eastAsia" w:ascii="Arial" w:hAnsi="Arial"/>
          <w:lang w:val="en-US" w:eastAsia="zh-CN"/>
        </w:rPr>
        <w:t>具体措施</w:t>
      </w:r>
      <w:r>
        <w:tab/>
      </w:r>
      <w:r>
        <w:fldChar w:fldCharType="begin"/>
      </w:r>
      <w:r>
        <w:instrText xml:space="preserve"> PAGEREF _Toc24299 \h </w:instrText>
      </w:r>
      <w:r>
        <w:fldChar w:fldCharType="separate"/>
      </w:r>
      <w:r>
        <w:t>60</w:t>
      </w:r>
      <w:r>
        <w:fldChar w:fldCharType="end"/>
      </w:r>
      <w:r>
        <w:rPr>
          <w:rFonts w:hint="eastAsia" w:ascii="仿宋_GB2312" w:hAnsi="仿宋_GB2312" w:eastAsia="仿宋_GB2312" w:cs="仿宋_GB2312"/>
          <w:bCs w:val="0"/>
          <w:szCs w:val="32"/>
          <w:highlight w:val="none"/>
          <w:u w:val="none"/>
          <w:lang w:val="en-US" w:eastAsia="zh-CN"/>
        </w:rPr>
        <w:fldChar w:fldCharType="end"/>
      </w:r>
    </w:p>
    <w:p w14:paraId="42982BBA">
      <w:pPr>
        <w:pStyle w:val="9"/>
        <w:tabs>
          <w:tab w:val="right" w:leader="dot" w:pos="8306"/>
        </w:tabs>
      </w:pPr>
      <w:r>
        <w:rPr>
          <w:rFonts w:hint="eastAsia" w:ascii="仿宋_GB2312" w:hAnsi="仿宋_GB2312" w:eastAsia="仿宋_GB2312" w:cs="仿宋_GB2312"/>
          <w:bCs w:val="0"/>
          <w:szCs w:val="32"/>
          <w:highlight w:val="none"/>
          <w:u w:val="none"/>
          <w:lang w:val="en-US" w:eastAsia="zh-CN"/>
        </w:rPr>
        <w:fldChar w:fldCharType="begin"/>
      </w:r>
      <w:r>
        <w:rPr>
          <w:rFonts w:hint="eastAsia" w:ascii="仿宋_GB2312" w:hAnsi="仿宋_GB2312" w:eastAsia="仿宋_GB2312" w:cs="仿宋_GB2312"/>
          <w:bCs w:val="0"/>
          <w:szCs w:val="32"/>
          <w:highlight w:val="none"/>
          <w:lang w:val="en-US" w:eastAsia="zh-CN"/>
        </w:rPr>
        <w:instrText xml:space="preserve"> HYPERLINK \l _Toc32379 </w:instrText>
      </w:r>
      <w:r>
        <w:rPr>
          <w:rFonts w:hint="eastAsia" w:ascii="仿宋_GB2312" w:hAnsi="仿宋_GB2312" w:eastAsia="仿宋_GB2312" w:cs="仿宋_GB2312"/>
          <w:bCs w:val="0"/>
          <w:szCs w:val="32"/>
          <w:highlight w:val="none"/>
          <w:lang w:val="en-US" w:eastAsia="zh-CN"/>
        </w:rPr>
        <w:fldChar w:fldCharType="separate"/>
      </w:r>
      <w:r>
        <w:rPr>
          <w:rFonts w:hint="eastAsia"/>
          <w:lang w:val="en-US" w:eastAsia="zh-CN"/>
        </w:rPr>
        <w:t>十六、建强“两支队伍”，用决定性因素保证供销合作事业高质量发展取得决定性进展</w:t>
      </w:r>
      <w:r>
        <w:tab/>
      </w:r>
      <w:r>
        <w:fldChar w:fldCharType="begin"/>
      </w:r>
      <w:r>
        <w:instrText xml:space="preserve"> PAGEREF _Toc32379 \h </w:instrText>
      </w:r>
      <w:r>
        <w:fldChar w:fldCharType="separate"/>
      </w:r>
      <w:r>
        <w:t>62</w:t>
      </w:r>
      <w:r>
        <w:fldChar w:fldCharType="end"/>
      </w:r>
      <w:r>
        <w:rPr>
          <w:rFonts w:hint="eastAsia" w:ascii="仿宋_GB2312" w:hAnsi="仿宋_GB2312" w:eastAsia="仿宋_GB2312" w:cs="仿宋_GB2312"/>
          <w:bCs w:val="0"/>
          <w:szCs w:val="32"/>
          <w:highlight w:val="none"/>
          <w:u w:val="none"/>
          <w:lang w:val="en-US" w:eastAsia="zh-CN"/>
        </w:rPr>
        <w:fldChar w:fldCharType="end"/>
      </w:r>
    </w:p>
    <w:p w14:paraId="77B36276">
      <w:pPr>
        <w:pStyle w:val="10"/>
        <w:tabs>
          <w:tab w:val="right" w:leader="dot" w:pos="8306"/>
        </w:tabs>
      </w:pPr>
      <w:r>
        <w:rPr>
          <w:rFonts w:hint="eastAsia" w:ascii="仿宋_GB2312" w:hAnsi="仿宋_GB2312" w:eastAsia="仿宋_GB2312" w:cs="仿宋_GB2312"/>
          <w:bCs w:val="0"/>
          <w:szCs w:val="32"/>
          <w:highlight w:val="none"/>
          <w:u w:val="none"/>
          <w:lang w:val="en-US" w:eastAsia="zh-CN"/>
        </w:rPr>
        <w:fldChar w:fldCharType="begin"/>
      </w:r>
      <w:r>
        <w:rPr>
          <w:rFonts w:hint="eastAsia" w:ascii="仿宋_GB2312" w:hAnsi="仿宋_GB2312" w:eastAsia="仿宋_GB2312" w:cs="仿宋_GB2312"/>
          <w:bCs w:val="0"/>
          <w:szCs w:val="32"/>
          <w:highlight w:val="none"/>
          <w:lang w:val="en-US" w:eastAsia="zh-CN"/>
        </w:rPr>
        <w:instrText xml:space="preserve"> HYPERLINK \l _Toc24143 </w:instrText>
      </w:r>
      <w:r>
        <w:rPr>
          <w:rFonts w:hint="eastAsia" w:ascii="仿宋_GB2312" w:hAnsi="仿宋_GB2312" w:eastAsia="仿宋_GB2312" w:cs="仿宋_GB2312"/>
          <w:bCs w:val="0"/>
          <w:szCs w:val="32"/>
          <w:highlight w:val="none"/>
          <w:lang w:val="en-US" w:eastAsia="zh-CN"/>
        </w:rPr>
        <w:fldChar w:fldCharType="separate"/>
      </w:r>
      <w:r>
        <w:rPr>
          <w:rFonts w:hint="eastAsia" w:ascii="Arial" w:hAnsi="Arial"/>
          <w:lang w:eastAsia="zh-CN"/>
        </w:rPr>
        <w:t>（</w:t>
      </w:r>
      <w:r>
        <w:rPr>
          <w:rFonts w:hint="eastAsia" w:ascii="Arial" w:hAnsi="Arial"/>
          <w:lang w:val="en-US" w:eastAsia="zh-CN"/>
        </w:rPr>
        <w:t>一</w:t>
      </w:r>
      <w:r>
        <w:rPr>
          <w:rFonts w:hint="eastAsia" w:ascii="Arial" w:hAnsi="Arial"/>
          <w:lang w:eastAsia="zh-CN"/>
        </w:rPr>
        <w:t>）</w:t>
      </w:r>
      <w:r>
        <w:rPr>
          <w:rFonts w:hint="eastAsia" w:ascii="Arial" w:hAnsi="Arial"/>
        </w:rPr>
        <w:t>任务目标</w:t>
      </w:r>
      <w:r>
        <w:tab/>
      </w:r>
      <w:r>
        <w:fldChar w:fldCharType="begin"/>
      </w:r>
      <w:r>
        <w:instrText xml:space="preserve"> PAGEREF _Toc24143 \h </w:instrText>
      </w:r>
      <w:r>
        <w:fldChar w:fldCharType="separate"/>
      </w:r>
      <w:r>
        <w:t>62</w:t>
      </w:r>
      <w:r>
        <w:fldChar w:fldCharType="end"/>
      </w:r>
      <w:r>
        <w:rPr>
          <w:rFonts w:hint="eastAsia" w:ascii="仿宋_GB2312" w:hAnsi="仿宋_GB2312" w:eastAsia="仿宋_GB2312" w:cs="仿宋_GB2312"/>
          <w:bCs w:val="0"/>
          <w:szCs w:val="32"/>
          <w:highlight w:val="none"/>
          <w:u w:val="none"/>
          <w:lang w:val="en-US" w:eastAsia="zh-CN"/>
        </w:rPr>
        <w:fldChar w:fldCharType="end"/>
      </w:r>
    </w:p>
    <w:p w14:paraId="15450206">
      <w:pPr>
        <w:pStyle w:val="10"/>
        <w:tabs>
          <w:tab w:val="right" w:leader="dot" w:pos="8306"/>
        </w:tabs>
      </w:pPr>
      <w:r>
        <w:rPr>
          <w:rFonts w:hint="eastAsia" w:ascii="仿宋_GB2312" w:hAnsi="仿宋_GB2312" w:eastAsia="仿宋_GB2312" w:cs="仿宋_GB2312"/>
          <w:bCs w:val="0"/>
          <w:szCs w:val="32"/>
          <w:highlight w:val="none"/>
          <w:u w:val="none"/>
          <w:lang w:val="en-US" w:eastAsia="zh-CN"/>
        </w:rPr>
        <w:fldChar w:fldCharType="begin"/>
      </w:r>
      <w:r>
        <w:rPr>
          <w:rFonts w:hint="eastAsia" w:ascii="仿宋_GB2312" w:hAnsi="仿宋_GB2312" w:eastAsia="仿宋_GB2312" w:cs="仿宋_GB2312"/>
          <w:bCs w:val="0"/>
          <w:szCs w:val="32"/>
          <w:highlight w:val="none"/>
          <w:lang w:val="en-US" w:eastAsia="zh-CN"/>
        </w:rPr>
        <w:instrText xml:space="preserve"> HYPERLINK \l _Toc31672 </w:instrText>
      </w:r>
      <w:r>
        <w:rPr>
          <w:rFonts w:hint="eastAsia" w:ascii="仿宋_GB2312" w:hAnsi="仿宋_GB2312" w:eastAsia="仿宋_GB2312" w:cs="仿宋_GB2312"/>
          <w:bCs w:val="0"/>
          <w:szCs w:val="32"/>
          <w:highlight w:val="none"/>
          <w:lang w:val="en-US" w:eastAsia="zh-CN"/>
        </w:rPr>
        <w:fldChar w:fldCharType="separate"/>
      </w:r>
      <w:r>
        <w:rPr>
          <w:rFonts w:hint="eastAsia"/>
          <w:lang w:eastAsia="zh-CN"/>
        </w:rPr>
        <w:t>（</w:t>
      </w:r>
      <w:r>
        <w:rPr>
          <w:rFonts w:hint="eastAsia"/>
          <w:lang w:val="en-US" w:eastAsia="zh-CN"/>
        </w:rPr>
        <w:t>二</w:t>
      </w:r>
      <w:r>
        <w:rPr>
          <w:rFonts w:hint="eastAsia"/>
          <w:lang w:eastAsia="zh-CN"/>
        </w:rPr>
        <w:t>）</w:t>
      </w:r>
      <w:r>
        <w:rPr>
          <w:rFonts w:hint="eastAsia"/>
          <w:lang w:val="en-US" w:eastAsia="zh-CN"/>
        </w:rPr>
        <w:t>分年度计划</w:t>
      </w:r>
      <w:r>
        <w:tab/>
      </w:r>
      <w:r>
        <w:fldChar w:fldCharType="begin"/>
      </w:r>
      <w:r>
        <w:instrText xml:space="preserve"> PAGEREF _Toc31672 \h </w:instrText>
      </w:r>
      <w:r>
        <w:fldChar w:fldCharType="separate"/>
      </w:r>
      <w:r>
        <w:t>63</w:t>
      </w:r>
      <w:r>
        <w:fldChar w:fldCharType="end"/>
      </w:r>
      <w:r>
        <w:rPr>
          <w:rFonts w:hint="eastAsia" w:ascii="仿宋_GB2312" w:hAnsi="仿宋_GB2312" w:eastAsia="仿宋_GB2312" w:cs="仿宋_GB2312"/>
          <w:bCs w:val="0"/>
          <w:szCs w:val="32"/>
          <w:highlight w:val="none"/>
          <w:u w:val="none"/>
          <w:lang w:val="en-US" w:eastAsia="zh-CN"/>
        </w:rPr>
        <w:fldChar w:fldCharType="end"/>
      </w:r>
    </w:p>
    <w:p w14:paraId="76D47C05">
      <w:pPr>
        <w:pStyle w:val="10"/>
        <w:tabs>
          <w:tab w:val="right" w:leader="dot" w:pos="8306"/>
        </w:tabs>
      </w:pPr>
      <w:r>
        <w:rPr>
          <w:rFonts w:hint="eastAsia" w:ascii="仿宋_GB2312" w:hAnsi="仿宋_GB2312" w:eastAsia="仿宋_GB2312" w:cs="仿宋_GB2312"/>
          <w:bCs w:val="0"/>
          <w:szCs w:val="32"/>
          <w:highlight w:val="none"/>
          <w:u w:val="none"/>
          <w:lang w:val="en-US" w:eastAsia="zh-CN"/>
        </w:rPr>
        <w:fldChar w:fldCharType="begin"/>
      </w:r>
      <w:r>
        <w:rPr>
          <w:rFonts w:hint="eastAsia" w:ascii="仿宋_GB2312" w:hAnsi="仿宋_GB2312" w:eastAsia="仿宋_GB2312" w:cs="仿宋_GB2312"/>
          <w:bCs w:val="0"/>
          <w:szCs w:val="32"/>
          <w:highlight w:val="none"/>
          <w:lang w:val="en-US" w:eastAsia="zh-CN"/>
        </w:rPr>
        <w:instrText xml:space="preserve"> HYPERLINK \l _Toc17275 </w:instrText>
      </w:r>
      <w:r>
        <w:rPr>
          <w:rFonts w:hint="eastAsia" w:ascii="仿宋_GB2312" w:hAnsi="仿宋_GB2312" w:eastAsia="仿宋_GB2312" w:cs="仿宋_GB2312"/>
          <w:bCs w:val="0"/>
          <w:szCs w:val="32"/>
          <w:highlight w:val="none"/>
          <w:lang w:val="en-US" w:eastAsia="zh-CN"/>
        </w:rPr>
        <w:fldChar w:fldCharType="separate"/>
      </w:r>
      <w:r>
        <w:rPr>
          <w:rFonts w:hint="eastAsia" w:ascii="Arial" w:hAnsi="Arial"/>
          <w:lang w:eastAsia="zh-CN"/>
        </w:rPr>
        <w:t>（</w:t>
      </w:r>
      <w:r>
        <w:rPr>
          <w:rFonts w:hint="eastAsia" w:ascii="Arial" w:hAnsi="Arial"/>
          <w:lang w:val="en-US" w:eastAsia="zh-CN"/>
        </w:rPr>
        <w:t>三</w:t>
      </w:r>
      <w:r>
        <w:rPr>
          <w:rFonts w:hint="eastAsia" w:ascii="Arial" w:hAnsi="Arial"/>
          <w:lang w:eastAsia="zh-CN"/>
        </w:rPr>
        <w:t>）</w:t>
      </w:r>
      <w:r>
        <w:rPr>
          <w:rFonts w:hint="eastAsia" w:ascii="Arial" w:hAnsi="Arial"/>
        </w:rPr>
        <w:t>具体措施</w:t>
      </w:r>
      <w:r>
        <w:tab/>
      </w:r>
      <w:r>
        <w:fldChar w:fldCharType="begin"/>
      </w:r>
      <w:r>
        <w:instrText xml:space="preserve"> PAGEREF _Toc17275 \h </w:instrText>
      </w:r>
      <w:r>
        <w:fldChar w:fldCharType="separate"/>
      </w:r>
      <w:r>
        <w:t>63</w:t>
      </w:r>
      <w:r>
        <w:fldChar w:fldCharType="end"/>
      </w:r>
      <w:r>
        <w:rPr>
          <w:rFonts w:hint="eastAsia" w:ascii="仿宋_GB2312" w:hAnsi="仿宋_GB2312" w:eastAsia="仿宋_GB2312" w:cs="仿宋_GB2312"/>
          <w:bCs w:val="0"/>
          <w:szCs w:val="32"/>
          <w:highlight w:val="none"/>
          <w:u w:val="none"/>
          <w:lang w:val="en-US" w:eastAsia="zh-CN"/>
        </w:rPr>
        <w:fldChar w:fldCharType="end"/>
      </w:r>
    </w:p>
    <w:p w14:paraId="29FB4579">
      <w:pPr>
        <w:pStyle w:val="9"/>
        <w:tabs>
          <w:tab w:val="right" w:leader="dot" w:pos="8306"/>
        </w:tabs>
      </w:pPr>
      <w:r>
        <w:rPr>
          <w:rFonts w:hint="eastAsia" w:ascii="仿宋_GB2312" w:hAnsi="仿宋_GB2312" w:eastAsia="仿宋_GB2312" w:cs="仿宋_GB2312"/>
          <w:bCs w:val="0"/>
          <w:szCs w:val="32"/>
          <w:highlight w:val="none"/>
          <w:u w:val="none"/>
          <w:lang w:val="en-US" w:eastAsia="zh-CN"/>
        </w:rPr>
        <w:fldChar w:fldCharType="begin"/>
      </w:r>
      <w:r>
        <w:rPr>
          <w:rFonts w:hint="eastAsia" w:ascii="仿宋_GB2312" w:hAnsi="仿宋_GB2312" w:eastAsia="仿宋_GB2312" w:cs="仿宋_GB2312"/>
          <w:bCs w:val="0"/>
          <w:szCs w:val="32"/>
          <w:highlight w:val="none"/>
          <w:lang w:val="en-US" w:eastAsia="zh-CN"/>
        </w:rPr>
        <w:instrText xml:space="preserve"> HYPERLINK \l _Toc18472 </w:instrText>
      </w:r>
      <w:r>
        <w:rPr>
          <w:rFonts w:hint="eastAsia" w:ascii="仿宋_GB2312" w:hAnsi="仿宋_GB2312" w:eastAsia="仿宋_GB2312" w:cs="仿宋_GB2312"/>
          <w:bCs w:val="0"/>
          <w:szCs w:val="32"/>
          <w:highlight w:val="none"/>
          <w:lang w:val="en-US" w:eastAsia="zh-CN"/>
        </w:rPr>
        <w:fldChar w:fldCharType="separate"/>
      </w:r>
      <w:r>
        <w:rPr>
          <w:rFonts w:hint="eastAsia"/>
          <w:lang w:val="en-US" w:eastAsia="zh-CN"/>
        </w:rPr>
        <w:t>十七、</w:t>
      </w:r>
      <w:r>
        <w:rPr>
          <w:rFonts w:hint="eastAsia"/>
          <w:lang w:eastAsia="zh-CN"/>
        </w:rPr>
        <w:t>保障措施</w:t>
      </w:r>
      <w:r>
        <w:tab/>
      </w:r>
      <w:r>
        <w:fldChar w:fldCharType="begin"/>
      </w:r>
      <w:r>
        <w:instrText xml:space="preserve"> PAGEREF _Toc18472 \h </w:instrText>
      </w:r>
      <w:r>
        <w:fldChar w:fldCharType="separate"/>
      </w:r>
      <w:r>
        <w:t>65</w:t>
      </w:r>
      <w:r>
        <w:fldChar w:fldCharType="end"/>
      </w:r>
      <w:r>
        <w:rPr>
          <w:rFonts w:hint="eastAsia" w:ascii="仿宋_GB2312" w:hAnsi="仿宋_GB2312" w:eastAsia="仿宋_GB2312" w:cs="仿宋_GB2312"/>
          <w:bCs w:val="0"/>
          <w:szCs w:val="32"/>
          <w:highlight w:val="none"/>
          <w:u w:val="none"/>
          <w:lang w:val="en-US" w:eastAsia="zh-CN"/>
        </w:rPr>
        <w:fldChar w:fldCharType="end"/>
      </w:r>
    </w:p>
    <w:p w14:paraId="000E8C65">
      <w:pPr>
        <w:pStyle w:val="10"/>
        <w:tabs>
          <w:tab w:val="right" w:leader="dot" w:pos="8306"/>
        </w:tabs>
      </w:pPr>
      <w:r>
        <w:rPr>
          <w:rFonts w:hint="eastAsia" w:ascii="仿宋_GB2312" w:hAnsi="仿宋_GB2312" w:eastAsia="仿宋_GB2312" w:cs="仿宋_GB2312"/>
          <w:bCs w:val="0"/>
          <w:szCs w:val="32"/>
          <w:highlight w:val="none"/>
          <w:u w:val="none"/>
          <w:lang w:val="en-US" w:eastAsia="zh-CN"/>
        </w:rPr>
        <w:fldChar w:fldCharType="begin"/>
      </w:r>
      <w:r>
        <w:rPr>
          <w:rFonts w:hint="eastAsia" w:ascii="仿宋_GB2312" w:hAnsi="仿宋_GB2312" w:eastAsia="仿宋_GB2312" w:cs="仿宋_GB2312"/>
          <w:bCs w:val="0"/>
          <w:szCs w:val="32"/>
          <w:highlight w:val="none"/>
          <w:lang w:val="en-US" w:eastAsia="zh-CN"/>
        </w:rPr>
        <w:instrText xml:space="preserve"> HYPERLINK \l _Toc12915 </w:instrText>
      </w:r>
      <w:r>
        <w:rPr>
          <w:rFonts w:hint="eastAsia" w:ascii="仿宋_GB2312" w:hAnsi="仿宋_GB2312" w:eastAsia="仿宋_GB2312" w:cs="仿宋_GB2312"/>
          <w:bCs w:val="0"/>
          <w:szCs w:val="32"/>
          <w:highlight w:val="none"/>
          <w:lang w:val="en-US" w:eastAsia="zh-CN"/>
        </w:rPr>
        <w:fldChar w:fldCharType="separate"/>
      </w:r>
      <w:r>
        <w:rPr>
          <w:rFonts w:hint="eastAsia" w:ascii="Arial" w:hAnsi="Arial"/>
        </w:rPr>
        <w:t>（一）强化思想认识引领，凝聚规划实施共识</w:t>
      </w:r>
      <w:r>
        <w:tab/>
      </w:r>
      <w:r>
        <w:fldChar w:fldCharType="begin"/>
      </w:r>
      <w:r>
        <w:instrText xml:space="preserve"> PAGEREF _Toc12915 \h </w:instrText>
      </w:r>
      <w:r>
        <w:fldChar w:fldCharType="separate"/>
      </w:r>
      <w:r>
        <w:t>65</w:t>
      </w:r>
      <w:r>
        <w:fldChar w:fldCharType="end"/>
      </w:r>
      <w:r>
        <w:rPr>
          <w:rFonts w:hint="eastAsia" w:ascii="仿宋_GB2312" w:hAnsi="仿宋_GB2312" w:eastAsia="仿宋_GB2312" w:cs="仿宋_GB2312"/>
          <w:bCs w:val="0"/>
          <w:szCs w:val="32"/>
          <w:highlight w:val="none"/>
          <w:u w:val="none"/>
          <w:lang w:val="en-US" w:eastAsia="zh-CN"/>
        </w:rPr>
        <w:fldChar w:fldCharType="end"/>
      </w:r>
    </w:p>
    <w:p w14:paraId="68337B08">
      <w:pPr>
        <w:pStyle w:val="10"/>
        <w:tabs>
          <w:tab w:val="right" w:leader="dot" w:pos="8306"/>
        </w:tabs>
      </w:pPr>
      <w:r>
        <w:rPr>
          <w:rFonts w:hint="eastAsia" w:ascii="仿宋_GB2312" w:hAnsi="仿宋_GB2312" w:eastAsia="仿宋_GB2312" w:cs="仿宋_GB2312"/>
          <w:bCs w:val="0"/>
          <w:szCs w:val="32"/>
          <w:highlight w:val="none"/>
          <w:u w:val="none"/>
          <w:lang w:val="en-US" w:eastAsia="zh-CN"/>
        </w:rPr>
        <w:fldChar w:fldCharType="begin"/>
      </w:r>
      <w:r>
        <w:rPr>
          <w:rFonts w:hint="eastAsia" w:ascii="仿宋_GB2312" w:hAnsi="仿宋_GB2312" w:eastAsia="仿宋_GB2312" w:cs="仿宋_GB2312"/>
          <w:bCs w:val="0"/>
          <w:szCs w:val="32"/>
          <w:highlight w:val="none"/>
          <w:lang w:val="en-US" w:eastAsia="zh-CN"/>
        </w:rPr>
        <w:instrText xml:space="preserve"> HYPERLINK \l _Toc9745 </w:instrText>
      </w:r>
      <w:r>
        <w:rPr>
          <w:rFonts w:hint="eastAsia" w:ascii="仿宋_GB2312" w:hAnsi="仿宋_GB2312" w:eastAsia="仿宋_GB2312" w:cs="仿宋_GB2312"/>
          <w:bCs w:val="0"/>
          <w:szCs w:val="32"/>
          <w:highlight w:val="none"/>
          <w:lang w:val="en-US" w:eastAsia="zh-CN"/>
        </w:rPr>
        <w:fldChar w:fldCharType="separate"/>
      </w:r>
      <w:r>
        <w:rPr>
          <w:rFonts w:hint="eastAsia" w:ascii="Arial" w:hAnsi="Arial"/>
          <w:lang w:eastAsia="zh-CN"/>
        </w:rPr>
        <w:t>（</w:t>
      </w:r>
      <w:r>
        <w:rPr>
          <w:rFonts w:hint="eastAsia" w:ascii="Arial" w:hAnsi="Arial"/>
          <w:lang w:val="en-US" w:eastAsia="zh-CN"/>
        </w:rPr>
        <w:t>二</w:t>
      </w:r>
      <w:r>
        <w:rPr>
          <w:rFonts w:hint="eastAsia" w:ascii="Arial" w:hAnsi="Arial"/>
          <w:lang w:eastAsia="zh-CN"/>
        </w:rPr>
        <w:t>）</w:t>
      </w:r>
      <w:r>
        <w:rPr>
          <w:rFonts w:hint="eastAsia" w:ascii="Arial" w:hAnsi="Arial"/>
        </w:rPr>
        <w:t>健全组织领导体系，压实层级责任链条</w:t>
      </w:r>
      <w:r>
        <w:tab/>
      </w:r>
      <w:r>
        <w:fldChar w:fldCharType="begin"/>
      </w:r>
      <w:r>
        <w:instrText xml:space="preserve"> PAGEREF _Toc9745 \h </w:instrText>
      </w:r>
      <w:r>
        <w:fldChar w:fldCharType="separate"/>
      </w:r>
      <w:r>
        <w:t>65</w:t>
      </w:r>
      <w:r>
        <w:fldChar w:fldCharType="end"/>
      </w:r>
      <w:r>
        <w:rPr>
          <w:rFonts w:hint="eastAsia" w:ascii="仿宋_GB2312" w:hAnsi="仿宋_GB2312" w:eastAsia="仿宋_GB2312" w:cs="仿宋_GB2312"/>
          <w:bCs w:val="0"/>
          <w:szCs w:val="32"/>
          <w:highlight w:val="none"/>
          <w:u w:val="none"/>
          <w:lang w:val="en-US" w:eastAsia="zh-CN"/>
        </w:rPr>
        <w:fldChar w:fldCharType="end"/>
      </w:r>
    </w:p>
    <w:p w14:paraId="4DC84974">
      <w:pPr>
        <w:pStyle w:val="10"/>
        <w:tabs>
          <w:tab w:val="right" w:leader="dot" w:pos="8306"/>
        </w:tabs>
      </w:pPr>
      <w:r>
        <w:rPr>
          <w:rFonts w:hint="eastAsia" w:ascii="仿宋_GB2312" w:hAnsi="仿宋_GB2312" w:eastAsia="仿宋_GB2312" w:cs="仿宋_GB2312"/>
          <w:bCs w:val="0"/>
          <w:szCs w:val="32"/>
          <w:highlight w:val="none"/>
          <w:u w:val="none"/>
          <w:lang w:val="en-US" w:eastAsia="zh-CN"/>
        </w:rPr>
        <w:fldChar w:fldCharType="begin"/>
      </w:r>
      <w:r>
        <w:rPr>
          <w:rFonts w:hint="eastAsia" w:ascii="仿宋_GB2312" w:hAnsi="仿宋_GB2312" w:eastAsia="仿宋_GB2312" w:cs="仿宋_GB2312"/>
          <w:bCs w:val="0"/>
          <w:szCs w:val="32"/>
          <w:highlight w:val="none"/>
          <w:lang w:val="en-US" w:eastAsia="zh-CN"/>
        </w:rPr>
        <w:instrText xml:space="preserve"> HYPERLINK \l _Toc8553 </w:instrText>
      </w:r>
      <w:r>
        <w:rPr>
          <w:rFonts w:hint="eastAsia" w:ascii="仿宋_GB2312" w:hAnsi="仿宋_GB2312" w:eastAsia="仿宋_GB2312" w:cs="仿宋_GB2312"/>
          <w:bCs w:val="0"/>
          <w:szCs w:val="32"/>
          <w:highlight w:val="none"/>
          <w:lang w:val="en-US" w:eastAsia="zh-CN"/>
        </w:rPr>
        <w:fldChar w:fldCharType="separate"/>
      </w:r>
      <w:r>
        <w:rPr>
          <w:rFonts w:hint="eastAsia" w:ascii="Arial" w:hAnsi="Arial"/>
          <w:lang w:eastAsia="zh-CN"/>
        </w:rPr>
        <w:t>（</w:t>
      </w:r>
      <w:r>
        <w:rPr>
          <w:rFonts w:hint="eastAsia" w:ascii="Arial" w:hAnsi="Arial"/>
          <w:lang w:val="en-US" w:eastAsia="zh-CN"/>
        </w:rPr>
        <w:t>三</w:t>
      </w:r>
      <w:r>
        <w:rPr>
          <w:rFonts w:hint="eastAsia" w:ascii="Arial" w:hAnsi="Arial"/>
          <w:lang w:eastAsia="zh-CN"/>
        </w:rPr>
        <w:t>）</w:t>
      </w:r>
      <w:r>
        <w:rPr>
          <w:rFonts w:hint="eastAsia" w:ascii="Arial" w:hAnsi="Arial"/>
        </w:rPr>
        <w:t>构建制度闭环管理，提升实施管控效能</w:t>
      </w:r>
      <w:r>
        <w:tab/>
      </w:r>
      <w:r>
        <w:fldChar w:fldCharType="begin"/>
      </w:r>
      <w:r>
        <w:instrText xml:space="preserve"> PAGEREF _Toc8553 \h </w:instrText>
      </w:r>
      <w:r>
        <w:fldChar w:fldCharType="separate"/>
      </w:r>
      <w:r>
        <w:t>66</w:t>
      </w:r>
      <w:r>
        <w:fldChar w:fldCharType="end"/>
      </w:r>
      <w:r>
        <w:rPr>
          <w:rFonts w:hint="eastAsia" w:ascii="仿宋_GB2312" w:hAnsi="仿宋_GB2312" w:eastAsia="仿宋_GB2312" w:cs="仿宋_GB2312"/>
          <w:bCs w:val="0"/>
          <w:szCs w:val="32"/>
          <w:highlight w:val="none"/>
          <w:u w:val="none"/>
          <w:lang w:val="en-US" w:eastAsia="zh-CN"/>
        </w:rPr>
        <w:fldChar w:fldCharType="end"/>
      </w:r>
    </w:p>
    <w:p w14:paraId="238BC686">
      <w:pPr>
        <w:pStyle w:val="10"/>
        <w:tabs>
          <w:tab w:val="right" w:leader="dot" w:pos="8306"/>
        </w:tabs>
      </w:pPr>
      <w:r>
        <w:rPr>
          <w:rFonts w:hint="eastAsia" w:ascii="仿宋_GB2312" w:hAnsi="仿宋_GB2312" w:eastAsia="仿宋_GB2312" w:cs="仿宋_GB2312"/>
          <w:bCs w:val="0"/>
          <w:szCs w:val="32"/>
          <w:highlight w:val="none"/>
          <w:u w:val="none"/>
          <w:lang w:val="en-US" w:eastAsia="zh-CN"/>
        </w:rPr>
        <w:fldChar w:fldCharType="begin"/>
      </w:r>
      <w:r>
        <w:rPr>
          <w:rFonts w:hint="eastAsia" w:ascii="仿宋_GB2312" w:hAnsi="仿宋_GB2312" w:eastAsia="仿宋_GB2312" w:cs="仿宋_GB2312"/>
          <w:bCs w:val="0"/>
          <w:szCs w:val="32"/>
          <w:highlight w:val="none"/>
          <w:lang w:val="en-US" w:eastAsia="zh-CN"/>
        </w:rPr>
        <w:instrText xml:space="preserve"> HYPERLINK \l _Toc9149 </w:instrText>
      </w:r>
      <w:r>
        <w:rPr>
          <w:rFonts w:hint="eastAsia" w:ascii="仿宋_GB2312" w:hAnsi="仿宋_GB2312" w:eastAsia="仿宋_GB2312" w:cs="仿宋_GB2312"/>
          <w:bCs w:val="0"/>
          <w:szCs w:val="32"/>
          <w:highlight w:val="none"/>
          <w:lang w:val="en-US" w:eastAsia="zh-CN"/>
        </w:rPr>
        <w:fldChar w:fldCharType="separate"/>
      </w:r>
      <w:r>
        <w:rPr>
          <w:rFonts w:hint="eastAsia" w:ascii="Arial" w:hAnsi="Arial"/>
          <w:lang w:eastAsia="zh-CN"/>
        </w:rPr>
        <w:t>（</w:t>
      </w:r>
      <w:r>
        <w:rPr>
          <w:rFonts w:hint="eastAsia" w:ascii="Arial" w:hAnsi="Arial"/>
          <w:lang w:val="en-US" w:eastAsia="zh-CN"/>
        </w:rPr>
        <w:t>四</w:t>
      </w:r>
      <w:r>
        <w:rPr>
          <w:rFonts w:hint="eastAsia" w:ascii="Arial" w:hAnsi="Arial"/>
          <w:lang w:eastAsia="zh-CN"/>
        </w:rPr>
        <w:t>）</w:t>
      </w:r>
      <w:r>
        <w:rPr>
          <w:rFonts w:hint="eastAsia" w:ascii="Arial" w:hAnsi="Arial"/>
        </w:rPr>
        <w:t>争取政策支持协同，筑牢发展保障支撑</w:t>
      </w:r>
      <w:r>
        <w:tab/>
      </w:r>
      <w:r>
        <w:fldChar w:fldCharType="begin"/>
      </w:r>
      <w:r>
        <w:instrText xml:space="preserve"> PAGEREF _Toc9149 \h </w:instrText>
      </w:r>
      <w:r>
        <w:fldChar w:fldCharType="separate"/>
      </w:r>
      <w:r>
        <w:t>66</w:t>
      </w:r>
      <w:r>
        <w:fldChar w:fldCharType="end"/>
      </w:r>
      <w:r>
        <w:rPr>
          <w:rFonts w:hint="eastAsia" w:ascii="仿宋_GB2312" w:hAnsi="仿宋_GB2312" w:eastAsia="仿宋_GB2312" w:cs="仿宋_GB2312"/>
          <w:bCs w:val="0"/>
          <w:szCs w:val="32"/>
          <w:highlight w:val="none"/>
          <w:u w:val="none"/>
          <w:lang w:val="en-US" w:eastAsia="zh-CN"/>
        </w:rPr>
        <w:fldChar w:fldCharType="end"/>
      </w:r>
    </w:p>
    <w:p w14:paraId="1AF8AF1C">
      <w:pPr>
        <w:pStyle w:val="10"/>
        <w:tabs>
          <w:tab w:val="right" w:leader="dot" w:pos="8306"/>
        </w:tabs>
      </w:pPr>
      <w:r>
        <w:rPr>
          <w:rFonts w:hint="eastAsia" w:ascii="仿宋_GB2312" w:hAnsi="仿宋_GB2312" w:eastAsia="仿宋_GB2312" w:cs="仿宋_GB2312"/>
          <w:bCs w:val="0"/>
          <w:szCs w:val="32"/>
          <w:highlight w:val="none"/>
          <w:u w:val="none"/>
          <w:lang w:val="en-US" w:eastAsia="zh-CN"/>
        </w:rPr>
        <w:fldChar w:fldCharType="begin"/>
      </w:r>
      <w:r>
        <w:rPr>
          <w:rFonts w:hint="eastAsia" w:ascii="仿宋_GB2312" w:hAnsi="仿宋_GB2312" w:eastAsia="仿宋_GB2312" w:cs="仿宋_GB2312"/>
          <w:bCs w:val="0"/>
          <w:szCs w:val="32"/>
          <w:highlight w:val="none"/>
          <w:lang w:val="en-US" w:eastAsia="zh-CN"/>
        </w:rPr>
        <w:instrText xml:space="preserve"> HYPERLINK \l _Toc6875 </w:instrText>
      </w:r>
      <w:r>
        <w:rPr>
          <w:rFonts w:hint="eastAsia" w:ascii="仿宋_GB2312" w:hAnsi="仿宋_GB2312" w:eastAsia="仿宋_GB2312" w:cs="仿宋_GB2312"/>
          <w:bCs w:val="0"/>
          <w:szCs w:val="32"/>
          <w:highlight w:val="none"/>
          <w:lang w:val="en-US" w:eastAsia="zh-CN"/>
        </w:rPr>
        <w:fldChar w:fldCharType="separate"/>
      </w:r>
      <w:r>
        <w:rPr>
          <w:rFonts w:hint="eastAsia" w:ascii="Arial" w:hAnsi="Arial"/>
          <w:lang w:val="en-US" w:eastAsia="zh-CN"/>
        </w:rPr>
        <w:t>（五）严明纪律规矩约束，深化作风建设保障</w:t>
      </w:r>
      <w:r>
        <w:tab/>
      </w:r>
      <w:r>
        <w:fldChar w:fldCharType="begin"/>
      </w:r>
      <w:r>
        <w:instrText xml:space="preserve"> PAGEREF _Toc6875 \h </w:instrText>
      </w:r>
      <w:r>
        <w:fldChar w:fldCharType="separate"/>
      </w:r>
      <w:r>
        <w:t>67</w:t>
      </w:r>
      <w:r>
        <w:fldChar w:fldCharType="end"/>
      </w:r>
      <w:r>
        <w:rPr>
          <w:rFonts w:hint="eastAsia" w:ascii="仿宋_GB2312" w:hAnsi="仿宋_GB2312" w:eastAsia="仿宋_GB2312" w:cs="仿宋_GB2312"/>
          <w:bCs w:val="0"/>
          <w:szCs w:val="32"/>
          <w:highlight w:val="none"/>
          <w:u w:val="none"/>
          <w:lang w:val="en-US" w:eastAsia="zh-CN"/>
        </w:rPr>
        <w:fldChar w:fldCharType="end"/>
      </w:r>
    </w:p>
    <w:p w14:paraId="57260D6C">
      <w:pPr>
        <w:pStyle w:val="2"/>
        <w:rPr>
          <w:rFonts w:hint="eastAsia" w:ascii="仿宋_GB2312" w:hAnsi="仿宋_GB2312" w:eastAsia="仿宋_GB2312" w:cs="仿宋_GB2312"/>
          <w:b w:val="0"/>
          <w:bCs w:val="0"/>
          <w:sz w:val="32"/>
          <w:szCs w:val="32"/>
          <w:highlight w:val="none"/>
          <w:u w:val="none"/>
          <w:lang w:val="en-US" w:eastAsia="zh-CN"/>
        </w:rPr>
      </w:pPr>
      <w:r>
        <w:rPr>
          <w:rFonts w:hint="eastAsia" w:ascii="仿宋_GB2312" w:hAnsi="仿宋_GB2312" w:eastAsia="仿宋_GB2312" w:cs="仿宋_GB2312"/>
          <w:bCs w:val="0"/>
          <w:szCs w:val="32"/>
          <w:highlight w:val="none"/>
          <w:u w:val="none"/>
          <w:lang w:val="en-US" w:eastAsia="zh-CN"/>
        </w:rPr>
        <w:fldChar w:fldCharType="end"/>
      </w:r>
    </w:p>
    <w:p w14:paraId="71F775F0">
      <w:pPr>
        <w:rPr>
          <w:rFonts w:hint="default"/>
          <w:lang w:val="en-US" w:eastAsia="zh-CN"/>
        </w:rPr>
        <w:sectPr>
          <w:pgSz w:w="11906" w:h="16838"/>
          <w:pgMar w:top="1440" w:right="1800" w:bottom="1440" w:left="1800" w:header="851" w:footer="992" w:gutter="0"/>
          <w:pgNumType w:fmt="decimal"/>
          <w:cols w:space="425" w:num="1"/>
          <w:docGrid w:type="lines" w:linePitch="312" w:charSpace="0"/>
        </w:sectPr>
      </w:pPr>
    </w:p>
    <w:p w14:paraId="0A9405CA">
      <w:pPr>
        <w:jc w:val="center"/>
        <w:rPr>
          <w:rFonts w:hint="eastAsia" w:ascii="方正小标宋简体" w:hAnsi="方正小标宋简体" w:eastAsia="方正小标宋简体" w:cs="方正小标宋简体"/>
          <w:b w:val="0"/>
          <w:bCs w:val="0"/>
          <w:sz w:val="44"/>
          <w:szCs w:val="44"/>
          <w:highlight w:val="none"/>
          <w:u w:val="none"/>
          <w:lang w:val="en-US" w:eastAsia="zh-CN"/>
        </w:rPr>
      </w:pPr>
      <w:r>
        <w:rPr>
          <w:rFonts w:hint="eastAsia" w:ascii="方正小标宋简体" w:hAnsi="方正小标宋简体" w:eastAsia="方正小标宋简体" w:cs="方正小标宋简体"/>
          <w:b w:val="0"/>
          <w:bCs w:val="0"/>
          <w:sz w:val="44"/>
          <w:szCs w:val="44"/>
          <w:highlight w:val="none"/>
          <w:u w:val="none"/>
          <w:lang w:val="en-US" w:eastAsia="zh-CN"/>
        </w:rPr>
        <w:t>鄂州市供销合作社“十五五”发展规划</w:t>
      </w:r>
    </w:p>
    <w:p w14:paraId="20E46220">
      <w:pPr>
        <w:pStyle w:val="2"/>
        <w:jc w:val="center"/>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b w:val="0"/>
          <w:bCs w:val="0"/>
          <w:sz w:val="32"/>
          <w:szCs w:val="32"/>
          <w:highlight w:val="none"/>
          <w:u w:val="none"/>
          <w:lang w:val="en-US" w:eastAsia="zh-CN"/>
        </w:rPr>
        <w:t>（送审稿）</w:t>
      </w:r>
    </w:p>
    <w:p w14:paraId="05A98EDF">
      <w:pPr>
        <w:jc w:val="center"/>
        <w:rPr>
          <w:rFonts w:hint="eastAsia" w:ascii="方正小标宋简体" w:hAnsi="方正小标宋简体" w:eastAsia="方正小标宋简体" w:cs="方正小标宋简体"/>
          <w:b w:val="0"/>
          <w:bCs w:val="0"/>
          <w:sz w:val="32"/>
          <w:szCs w:val="32"/>
          <w:highlight w:val="none"/>
          <w:u w:val="none"/>
          <w:lang w:val="en-US" w:eastAsia="zh-CN"/>
        </w:rPr>
      </w:pPr>
    </w:p>
    <w:p w14:paraId="63D09EDF">
      <w:pPr>
        <w:pStyle w:val="7"/>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Style w:val="15"/>
          <w:rFonts w:hint="eastAsia" w:ascii="仿宋" w:hAnsi="仿宋" w:eastAsia="仿宋" w:cs="仿宋"/>
          <w:b w:val="0"/>
          <w:bCs w:val="0"/>
          <w:i w:val="0"/>
          <w:iCs w:val="0"/>
          <w:caps w:val="0"/>
          <w:color w:val="auto"/>
          <w:spacing w:val="0"/>
          <w:kern w:val="2"/>
          <w:sz w:val="32"/>
          <w:szCs w:val="32"/>
          <w:highlight w:val="none"/>
          <w:u w:val="none"/>
          <w:shd w:val="clear" w:fill="FFFFFF"/>
          <w:lang w:val="en-US" w:eastAsia="zh-CN" w:bidi="ar-SA"/>
        </w:rPr>
      </w:pPr>
      <w:bookmarkStart w:id="0" w:name="_Toc24896"/>
      <w:r>
        <w:rPr>
          <w:rStyle w:val="15"/>
          <w:rFonts w:hint="eastAsia" w:ascii="仿宋" w:hAnsi="仿宋" w:eastAsia="仿宋" w:cs="仿宋"/>
          <w:b w:val="0"/>
          <w:bCs w:val="0"/>
          <w:i w:val="0"/>
          <w:iCs w:val="0"/>
          <w:caps w:val="0"/>
          <w:color w:val="auto"/>
          <w:spacing w:val="0"/>
          <w:kern w:val="2"/>
          <w:sz w:val="32"/>
          <w:szCs w:val="32"/>
          <w:highlight w:val="none"/>
          <w:u w:val="none"/>
          <w:shd w:val="clear" w:fill="FFFFFF"/>
          <w:lang w:val="en-US" w:eastAsia="zh-CN" w:bidi="ar-SA"/>
        </w:rPr>
        <w:t>“十五五”时期是我国全面建设社会主义现代化国家、向第二个百年奋斗目标进军的关键时期，也是鄂州市深化供销合作社综合改革、服务乡村振兴战略、推进农业农村现代化的重要阶段。根据国家、省、市相关规划部署，结合鄂州市供销合作社发展实际，特制定本规划。</w:t>
      </w:r>
    </w:p>
    <w:bookmarkEnd w:id="0"/>
    <w:p w14:paraId="68D4F402">
      <w:pPr>
        <w:pStyle w:val="3"/>
        <w:bidi w:val="0"/>
        <w:rPr>
          <w:rFonts w:hint="eastAsia"/>
          <w:lang w:eastAsia="zh-CN"/>
        </w:rPr>
      </w:pPr>
      <w:bookmarkStart w:id="1" w:name="_Toc32470"/>
      <w:bookmarkStart w:id="2" w:name="_Toc7082"/>
      <w:r>
        <w:rPr>
          <w:rFonts w:hint="eastAsia"/>
        </w:rPr>
        <w:t>一、</w:t>
      </w:r>
      <w:r>
        <w:rPr>
          <w:rFonts w:hint="eastAsia"/>
          <w:lang w:eastAsia="zh-CN"/>
        </w:rPr>
        <w:t>过去五年回顾及主要成效</w:t>
      </w:r>
      <w:bookmarkEnd w:id="1"/>
    </w:p>
    <w:p w14:paraId="40ED11A2">
      <w:pPr>
        <w:keepNext w:val="0"/>
        <w:keepLines w:val="0"/>
        <w:pageBreakBefore w:val="0"/>
        <w:wordWrap/>
        <w:overflowPunct/>
        <w:topLinePunct w:val="0"/>
        <w:bidi w:val="0"/>
        <w:adjustRightInd/>
        <w:snapToGrid/>
        <w:spacing w:line="240" w:lineRule="auto"/>
        <w:ind w:firstLine="640" w:firstLineChars="200"/>
        <w:jc w:val="both"/>
        <w:rPr>
          <w:rStyle w:val="15"/>
          <w:rFonts w:hint="eastAsia" w:ascii="仿宋" w:hAnsi="仿宋" w:eastAsia="仿宋" w:cs="仿宋"/>
          <w:b w:val="0"/>
          <w:bCs w:val="0"/>
          <w:i w:val="0"/>
          <w:iCs w:val="0"/>
          <w:caps w:val="0"/>
          <w:color w:val="0F1115"/>
          <w:spacing w:val="0"/>
          <w:kern w:val="2"/>
          <w:sz w:val="32"/>
          <w:szCs w:val="32"/>
          <w:highlight w:val="none"/>
          <w:u w:val="none"/>
          <w:shd w:val="clear" w:fill="FFFFFF"/>
          <w:lang w:val="en-US" w:eastAsia="zh-CN" w:bidi="ar-SA"/>
        </w:rPr>
      </w:pPr>
      <w:r>
        <w:rPr>
          <w:rStyle w:val="15"/>
          <w:rFonts w:hint="eastAsia" w:ascii="仿宋" w:hAnsi="仿宋" w:eastAsia="仿宋" w:cs="仿宋"/>
          <w:b w:val="0"/>
          <w:bCs w:val="0"/>
          <w:i w:val="0"/>
          <w:iCs w:val="0"/>
          <w:caps w:val="0"/>
          <w:color w:val="auto"/>
          <w:spacing w:val="0"/>
          <w:kern w:val="2"/>
          <w:sz w:val="32"/>
          <w:szCs w:val="32"/>
          <w:highlight w:val="none"/>
          <w:u w:val="none"/>
          <w:shd w:val="clear" w:fill="FFFFFF"/>
          <w:lang w:val="en-US" w:eastAsia="zh-CN" w:bidi="ar-SA"/>
        </w:rPr>
        <w:t>过去的五年，是全市供销合作社担当重大责任、实现快速发展、持续深化改革的关键五年。全市供销系统始终坚持以习近平新时代中国特色社会主义思想为指导，深入贯彻落实习近平总书记关于供销合作社工作的重要指示批示精神，以推进农业现代化和服务乡村振兴战略为目标，积极应对新冠疫情、经济下行和综合改革等多重挑战，持之以恒开拓创新，实干担当，谱写了鄂州供销改革发展的新篇章。</w:t>
      </w:r>
    </w:p>
    <w:p w14:paraId="73CF16DD">
      <w:pPr>
        <w:pStyle w:val="7"/>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Style w:val="15"/>
          <w:rFonts w:hint="eastAsia" w:ascii="仿宋" w:hAnsi="仿宋" w:eastAsia="仿宋" w:cs="仿宋"/>
          <w:b w:val="0"/>
          <w:bCs w:val="0"/>
          <w:i w:val="0"/>
          <w:iCs w:val="0"/>
          <w:caps w:val="0"/>
          <w:color w:val="0F1115"/>
          <w:spacing w:val="0"/>
          <w:sz w:val="32"/>
          <w:szCs w:val="32"/>
          <w:highlight w:val="none"/>
          <w:u w:val="none"/>
          <w:shd w:val="clear" w:fill="FFFFFF"/>
          <w:lang w:eastAsia="zh-CN"/>
        </w:rPr>
      </w:pPr>
      <w:r>
        <w:rPr>
          <w:rStyle w:val="15"/>
          <w:rFonts w:hint="eastAsia" w:ascii="楷体" w:hAnsi="楷体" w:eastAsia="楷体" w:cs="楷体"/>
          <w:b w:val="0"/>
          <w:bCs w:val="0"/>
          <w:i w:val="0"/>
          <w:iCs w:val="0"/>
          <w:caps w:val="0"/>
          <w:color w:val="0F1115"/>
          <w:spacing w:val="0"/>
          <w:sz w:val="32"/>
          <w:szCs w:val="32"/>
          <w:highlight w:val="none"/>
          <w:u w:val="none"/>
          <w:shd w:val="clear" w:fill="FFFFFF"/>
          <w:lang w:eastAsia="zh-CN"/>
        </w:rPr>
        <w:t>——强化党建引领，凝心聚力开创新局面。</w:t>
      </w:r>
      <w:r>
        <w:rPr>
          <w:rStyle w:val="15"/>
          <w:rFonts w:hint="eastAsia" w:ascii="仿宋" w:hAnsi="仿宋" w:eastAsia="仿宋" w:cs="仿宋"/>
          <w:b w:val="0"/>
          <w:bCs w:val="0"/>
          <w:i w:val="0"/>
          <w:iCs w:val="0"/>
          <w:caps w:val="0"/>
          <w:color w:val="0F1115"/>
          <w:spacing w:val="0"/>
          <w:sz w:val="32"/>
          <w:szCs w:val="32"/>
          <w:highlight w:val="none"/>
          <w:u w:val="none"/>
          <w:shd w:val="clear" w:fill="FFFFFF"/>
          <w:lang w:eastAsia="zh-CN"/>
        </w:rPr>
        <w:t>始终坚持和加强党</w:t>
      </w:r>
      <w:r>
        <w:rPr>
          <w:rStyle w:val="15"/>
          <w:rFonts w:hint="eastAsia" w:ascii="仿宋" w:hAnsi="仿宋" w:eastAsia="仿宋" w:cs="仿宋"/>
          <w:b w:val="0"/>
          <w:bCs w:val="0"/>
          <w:i w:val="0"/>
          <w:iCs w:val="0"/>
          <w:caps w:val="0"/>
          <w:color w:val="0F1115"/>
          <w:spacing w:val="0"/>
          <w:sz w:val="32"/>
          <w:szCs w:val="32"/>
          <w:highlight w:val="none"/>
          <w:u w:val="none"/>
          <w:shd w:val="clear" w:fill="FFFFFF"/>
          <w:lang w:val="en-US" w:eastAsia="zh-CN"/>
        </w:rPr>
        <w:t>对供销工作</w:t>
      </w:r>
      <w:r>
        <w:rPr>
          <w:rStyle w:val="15"/>
          <w:rFonts w:hint="eastAsia" w:ascii="仿宋" w:hAnsi="仿宋" w:eastAsia="仿宋" w:cs="仿宋"/>
          <w:b w:val="0"/>
          <w:bCs w:val="0"/>
          <w:i w:val="0"/>
          <w:iCs w:val="0"/>
          <w:caps w:val="0"/>
          <w:color w:val="0F1115"/>
          <w:spacing w:val="0"/>
          <w:sz w:val="32"/>
          <w:szCs w:val="32"/>
          <w:highlight w:val="none"/>
          <w:u w:val="none"/>
          <w:shd w:val="clear" w:fill="FFFFFF"/>
          <w:lang w:eastAsia="zh-CN"/>
        </w:rPr>
        <w:t>的全面领导，</w:t>
      </w:r>
      <w:r>
        <w:rPr>
          <w:rStyle w:val="15"/>
          <w:rFonts w:hint="eastAsia" w:ascii="仿宋" w:hAnsi="仿宋" w:eastAsia="仿宋" w:cs="仿宋"/>
          <w:b w:val="0"/>
          <w:bCs w:val="0"/>
          <w:i w:val="0"/>
          <w:iCs w:val="0"/>
          <w:caps w:val="0"/>
          <w:color w:val="0F1115"/>
          <w:spacing w:val="0"/>
          <w:sz w:val="32"/>
          <w:szCs w:val="32"/>
          <w:highlight w:val="none"/>
          <w:u w:val="none"/>
          <w:shd w:val="clear" w:fill="FFFFFF"/>
          <w:lang w:val="en-US" w:eastAsia="zh-CN"/>
        </w:rPr>
        <w:t>扎实推进</w:t>
      </w:r>
      <w:r>
        <w:rPr>
          <w:rStyle w:val="15"/>
          <w:rFonts w:hint="eastAsia" w:ascii="仿宋" w:hAnsi="仿宋" w:eastAsia="仿宋" w:cs="仿宋"/>
          <w:b w:val="0"/>
          <w:bCs w:val="0"/>
          <w:i w:val="0"/>
          <w:iCs w:val="0"/>
          <w:caps w:val="0"/>
          <w:color w:val="0F1115"/>
          <w:spacing w:val="0"/>
          <w:sz w:val="32"/>
          <w:szCs w:val="32"/>
          <w:highlight w:val="none"/>
          <w:u w:val="none"/>
          <w:shd w:val="clear" w:fill="FFFFFF"/>
          <w:lang w:eastAsia="zh-CN"/>
        </w:rPr>
        <w:t>党建工作与业务工作深度融合。</w:t>
      </w:r>
      <w:r>
        <w:rPr>
          <w:rStyle w:val="15"/>
          <w:rFonts w:hint="eastAsia" w:ascii="仿宋" w:hAnsi="仿宋" w:eastAsia="仿宋" w:cs="仿宋"/>
          <w:b/>
          <w:bCs/>
          <w:i w:val="0"/>
          <w:iCs w:val="0"/>
          <w:caps w:val="0"/>
          <w:color w:val="0F1115"/>
          <w:spacing w:val="0"/>
          <w:sz w:val="32"/>
          <w:szCs w:val="32"/>
          <w:highlight w:val="none"/>
          <w:u w:val="none"/>
          <w:shd w:val="clear" w:fill="FFFFFF"/>
          <w:lang w:eastAsia="zh-CN"/>
        </w:rPr>
        <w:t>一是政治建设把稳前进方向。</w:t>
      </w:r>
      <w:r>
        <w:rPr>
          <w:rStyle w:val="15"/>
          <w:rFonts w:hint="eastAsia" w:ascii="仿宋" w:hAnsi="仿宋" w:eastAsia="仿宋" w:cs="仿宋"/>
          <w:b w:val="0"/>
          <w:bCs w:val="0"/>
          <w:i w:val="0"/>
          <w:iCs w:val="0"/>
          <w:caps w:val="0"/>
          <w:color w:val="0F1115"/>
          <w:spacing w:val="0"/>
          <w:sz w:val="32"/>
          <w:szCs w:val="32"/>
          <w:highlight w:val="none"/>
          <w:u w:val="none"/>
          <w:shd w:val="clear" w:fill="FFFFFF"/>
          <w:lang w:eastAsia="zh-CN"/>
        </w:rPr>
        <w:t>严格落实“第一议题”制度，高标准、高质量开展系列主题教育，引导党员干部深刻领悟“两个确立”的决定性意义，增强“四个意识”、坚定“四个自信”、</w:t>
      </w:r>
      <w:r>
        <w:rPr>
          <w:rStyle w:val="15"/>
          <w:rFonts w:hint="eastAsia" w:ascii="仿宋" w:hAnsi="仿宋" w:eastAsia="仿宋" w:cs="仿宋"/>
          <w:b w:val="0"/>
          <w:bCs w:val="0"/>
          <w:i w:val="0"/>
          <w:iCs w:val="0"/>
          <w:caps w:val="0"/>
          <w:color w:val="0F1115"/>
          <w:spacing w:val="0"/>
          <w:sz w:val="32"/>
          <w:szCs w:val="32"/>
          <w:highlight w:val="none"/>
          <w:u w:val="none"/>
          <w:shd w:val="clear" w:fill="FFFFFF"/>
          <w:lang w:val="en-US" w:eastAsia="zh-CN"/>
        </w:rPr>
        <w:t>切实</w:t>
      </w:r>
      <w:r>
        <w:rPr>
          <w:rStyle w:val="15"/>
          <w:rFonts w:hint="eastAsia" w:ascii="仿宋" w:hAnsi="仿宋" w:eastAsia="仿宋" w:cs="仿宋"/>
          <w:b w:val="0"/>
          <w:bCs w:val="0"/>
          <w:i w:val="0"/>
          <w:iCs w:val="0"/>
          <w:caps w:val="0"/>
          <w:color w:val="0F1115"/>
          <w:spacing w:val="0"/>
          <w:sz w:val="32"/>
          <w:szCs w:val="32"/>
          <w:highlight w:val="none"/>
          <w:u w:val="none"/>
          <w:shd w:val="clear" w:fill="FFFFFF"/>
          <w:lang w:eastAsia="zh-CN"/>
        </w:rPr>
        <w:t>做到“两个维护”。</w:t>
      </w:r>
      <w:r>
        <w:rPr>
          <w:rStyle w:val="15"/>
          <w:rFonts w:hint="eastAsia" w:ascii="仿宋" w:hAnsi="仿宋" w:eastAsia="仿宋" w:cs="仿宋"/>
          <w:b/>
          <w:bCs/>
          <w:i w:val="0"/>
          <w:iCs w:val="0"/>
          <w:caps w:val="0"/>
          <w:color w:val="0F1115"/>
          <w:spacing w:val="0"/>
          <w:sz w:val="32"/>
          <w:szCs w:val="32"/>
          <w:highlight w:val="none"/>
          <w:u w:val="none"/>
          <w:shd w:val="clear" w:fill="FFFFFF"/>
          <w:lang w:eastAsia="zh-CN"/>
        </w:rPr>
        <w:t>二是组织建设筑牢战斗堡垒。</w:t>
      </w:r>
      <w:r>
        <w:rPr>
          <w:rStyle w:val="15"/>
          <w:rFonts w:hint="eastAsia" w:ascii="仿宋" w:hAnsi="仿宋" w:eastAsia="仿宋" w:cs="仿宋"/>
          <w:b w:val="0"/>
          <w:bCs w:val="0"/>
          <w:i w:val="0"/>
          <w:iCs w:val="0"/>
          <w:caps w:val="0"/>
          <w:color w:val="0F1115"/>
          <w:spacing w:val="0"/>
          <w:sz w:val="32"/>
          <w:szCs w:val="32"/>
          <w:highlight w:val="none"/>
          <w:u w:val="none"/>
          <w:shd w:val="clear" w:fill="FFFFFF"/>
          <w:lang w:eastAsia="zh-CN"/>
        </w:rPr>
        <w:t>树立大抓基层鲜明导向，企业党支部全面提档升级，机关党支部成功创建升级为“甲级”支部并荣获市级“红旗党支部”。</w:t>
      </w:r>
      <w:r>
        <w:rPr>
          <w:rStyle w:val="15"/>
          <w:rFonts w:hint="eastAsia" w:ascii="仿宋" w:hAnsi="仿宋" w:eastAsia="仿宋" w:cs="仿宋"/>
          <w:b w:val="0"/>
          <w:bCs w:val="0"/>
          <w:i w:val="0"/>
          <w:iCs w:val="0"/>
          <w:caps w:val="0"/>
          <w:color w:val="0F1115"/>
          <w:spacing w:val="0"/>
          <w:sz w:val="32"/>
          <w:szCs w:val="32"/>
          <w:highlight w:val="none"/>
          <w:u w:val="none"/>
          <w:shd w:val="clear" w:fill="FFFFFF"/>
          <w:lang w:val="en-US" w:eastAsia="zh-CN"/>
        </w:rPr>
        <w:t>积极</w:t>
      </w:r>
      <w:r>
        <w:rPr>
          <w:rStyle w:val="15"/>
          <w:rFonts w:hint="eastAsia" w:ascii="仿宋" w:hAnsi="仿宋" w:eastAsia="仿宋" w:cs="仿宋"/>
          <w:b w:val="0"/>
          <w:bCs w:val="0"/>
          <w:i w:val="0"/>
          <w:iCs w:val="0"/>
          <w:caps w:val="0"/>
          <w:color w:val="0F1115"/>
          <w:spacing w:val="0"/>
          <w:sz w:val="32"/>
          <w:szCs w:val="32"/>
          <w:highlight w:val="none"/>
          <w:u w:val="none"/>
          <w:shd w:val="clear" w:fill="FFFFFF"/>
          <w:lang w:eastAsia="zh-CN"/>
        </w:rPr>
        <w:t>开展“党建引领 村社共建”，系统与19个村级党组织合作共建示范点，逐步将组织优势转化为服务</w:t>
      </w:r>
      <w:r>
        <w:rPr>
          <w:rStyle w:val="15"/>
          <w:rFonts w:hint="eastAsia" w:ascii="仿宋" w:hAnsi="仿宋" w:eastAsia="仿宋" w:cs="仿宋"/>
          <w:b w:val="0"/>
          <w:bCs w:val="0"/>
          <w:i w:val="0"/>
          <w:iCs w:val="0"/>
          <w:caps w:val="0"/>
          <w:color w:val="0F1115"/>
          <w:spacing w:val="0"/>
          <w:sz w:val="32"/>
          <w:szCs w:val="32"/>
          <w:highlight w:val="none"/>
          <w:u w:val="none"/>
          <w:shd w:val="clear" w:fill="FFFFFF"/>
          <w:lang w:val="en-US" w:eastAsia="zh-CN"/>
        </w:rPr>
        <w:t>三农工作</w:t>
      </w:r>
      <w:r>
        <w:rPr>
          <w:rStyle w:val="15"/>
          <w:rFonts w:hint="eastAsia" w:ascii="仿宋" w:hAnsi="仿宋" w:eastAsia="仿宋" w:cs="仿宋"/>
          <w:b w:val="0"/>
          <w:bCs w:val="0"/>
          <w:i w:val="0"/>
          <w:iCs w:val="0"/>
          <w:caps w:val="0"/>
          <w:color w:val="0F1115"/>
          <w:spacing w:val="0"/>
          <w:sz w:val="32"/>
          <w:szCs w:val="32"/>
          <w:highlight w:val="none"/>
          <w:u w:val="none"/>
          <w:shd w:val="clear" w:fill="FFFFFF"/>
          <w:lang w:eastAsia="zh-CN"/>
        </w:rPr>
        <w:t>的发展动能。</w:t>
      </w:r>
      <w:r>
        <w:rPr>
          <w:rStyle w:val="15"/>
          <w:rFonts w:hint="eastAsia" w:ascii="仿宋" w:hAnsi="仿宋" w:eastAsia="仿宋" w:cs="仿宋"/>
          <w:b/>
          <w:bCs/>
          <w:i w:val="0"/>
          <w:iCs w:val="0"/>
          <w:caps w:val="0"/>
          <w:color w:val="0F1115"/>
          <w:spacing w:val="0"/>
          <w:sz w:val="32"/>
          <w:szCs w:val="32"/>
          <w:highlight w:val="none"/>
          <w:u w:val="none"/>
          <w:shd w:val="clear" w:fill="FFFFFF"/>
          <w:lang w:eastAsia="zh-CN"/>
        </w:rPr>
        <w:t>三是正风肃纪涵养清朗生态。</w:t>
      </w:r>
      <w:r>
        <w:rPr>
          <w:rStyle w:val="15"/>
          <w:rFonts w:hint="eastAsia" w:ascii="仿宋" w:hAnsi="仿宋" w:eastAsia="仿宋" w:cs="仿宋"/>
          <w:b w:val="0"/>
          <w:bCs w:val="0"/>
          <w:i w:val="0"/>
          <w:iCs w:val="0"/>
          <w:caps w:val="0"/>
          <w:color w:val="0F1115"/>
          <w:spacing w:val="0"/>
          <w:sz w:val="32"/>
          <w:szCs w:val="32"/>
          <w:highlight w:val="none"/>
          <w:u w:val="none"/>
          <w:shd w:val="clear" w:fill="FFFFFF"/>
          <w:lang w:eastAsia="zh-CN"/>
        </w:rPr>
        <w:t>坚决扛起全面从严治党主体责任，持续深化作风建设，扎实开展“从严治社”专项整治，</w:t>
      </w:r>
      <w:r>
        <w:rPr>
          <w:rStyle w:val="15"/>
          <w:rFonts w:hint="eastAsia" w:ascii="仿宋" w:hAnsi="仿宋" w:eastAsia="仿宋" w:cs="仿宋"/>
          <w:b w:val="0"/>
          <w:bCs w:val="0"/>
          <w:i w:val="0"/>
          <w:iCs w:val="0"/>
          <w:caps w:val="0"/>
          <w:color w:val="0F1115"/>
          <w:spacing w:val="0"/>
          <w:sz w:val="32"/>
          <w:szCs w:val="32"/>
          <w:highlight w:val="none"/>
          <w:u w:val="none"/>
          <w:shd w:val="clear" w:fill="FFFFFF"/>
          <w:lang w:val="en-US" w:eastAsia="zh-CN"/>
        </w:rPr>
        <w:t>全面完成巡察、审计有关问题的整改销号</w:t>
      </w:r>
      <w:r>
        <w:rPr>
          <w:rStyle w:val="15"/>
          <w:rFonts w:hint="eastAsia" w:ascii="仿宋" w:hAnsi="仿宋" w:eastAsia="仿宋" w:cs="仿宋"/>
          <w:b w:val="0"/>
          <w:bCs w:val="0"/>
          <w:i w:val="0"/>
          <w:iCs w:val="0"/>
          <w:caps w:val="0"/>
          <w:color w:val="0F1115"/>
          <w:spacing w:val="0"/>
          <w:sz w:val="32"/>
          <w:szCs w:val="32"/>
          <w:highlight w:val="none"/>
          <w:u w:val="none"/>
          <w:shd w:val="clear" w:fill="FFFFFF"/>
          <w:lang w:eastAsia="zh-CN"/>
        </w:rPr>
        <w:t>。精准运用“第一种形态”，严肃查办违纪案件，</w:t>
      </w:r>
      <w:r>
        <w:rPr>
          <w:rStyle w:val="15"/>
          <w:rFonts w:hint="eastAsia" w:ascii="仿宋" w:hAnsi="仿宋" w:eastAsia="仿宋" w:cs="仿宋"/>
          <w:b w:val="0"/>
          <w:bCs w:val="0"/>
          <w:i w:val="0"/>
          <w:iCs w:val="0"/>
          <w:caps w:val="0"/>
          <w:color w:val="0F1115"/>
          <w:spacing w:val="0"/>
          <w:sz w:val="32"/>
          <w:szCs w:val="32"/>
          <w:highlight w:val="none"/>
          <w:u w:val="none"/>
          <w:shd w:val="clear" w:fill="FFFFFF"/>
          <w:lang w:val="en-US" w:eastAsia="zh-CN"/>
        </w:rPr>
        <w:t>累计提醒谈话15人次，查处违纪违法案例13个</w:t>
      </w:r>
      <w:r>
        <w:rPr>
          <w:rStyle w:val="15"/>
          <w:rFonts w:hint="eastAsia" w:ascii="仿宋" w:hAnsi="仿宋" w:eastAsia="仿宋" w:cs="仿宋"/>
          <w:b w:val="0"/>
          <w:bCs w:val="0"/>
          <w:i w:val="0"/>
          <w:iCs w:val="0"/>
          <w:caps w:val="0"/>
          <w:color w:val="0F1115"/>
          <w:spacing w:val="0"/>
          <w:sz w:val="32"/>
          <w:szCs w:val="32"/>
          <w:highlight w:val="none"/>
          <w:u w:val="none"/>
          <w:shd w:val="clear" w:fill="FFFFFF"/>
          <w:lang w:eastAsia="zh-CN"/>
        </w:rPr>
        <w:t>。</w:t>
      </w:r>
      <w:r>
        <w:rPr>
          <w:rStyle w:val="15"/>
          <w:rFonts w:hint="eastAsia" w:ascii="仿宋" w:hAnsi="仿宋" w:eastAsia="仿宋" w:cs="仿宋"/>
          <w:b/>
          <w:bCs/>
          <w:i w:val="0"/>
          <w:iCs w:val="0"/>
          <w:caps w:val="0"/>
          <w:color w:val="0F1115"/>
          <w:spacing w:val="0"/>
          <w:sz w:val="32"/>
          <w:szCs w:val="32"/>
          <w:highlight w:val="none"/>
          <w:u w:val="none"/>
          <w:shd w:val="clear" w:fill="FFFFFF"/>
          <w:lang w:eastAsia="zh-CN"/>
        </w:rPr>
        <w:t>四是队伍建设激发干事热情。</w:t>
      </w:r>
      <w:r>
        <w:rPr>
          <w:rStyle w:val="15"/>
          <w:rFonts w:hint="eastAsia" w:ascii="仿宋" w:hAnsi="仿宋" w:eastAsia="仿宋" w:cs="仿宋"/>
          <w:b w:val="0"/>
          <w:bCs w:val="0"/>
          <w:i w:val="0"/>
          <w:iCs w:val="0"/>
          <w:caps w:val="0"/>
          <w:color w:val="0F1115"/>
          <w:spacing w:val="0"/>
          <w:sz w:val="32"/>
          <w:szCs w:val="32"/>
          <w:highlight w:val="none"/>
          <w:u w:val="none"/>
          <w:shd w:val="clear" w:fill="FFFFFF"/>
          <w:lang w:eastAsia="zh-CN"/>
        </w:rPr>
        <w:t>坚持党管干部原则，大力开展干部素质提升行动，着力锻造一支政治强、业务精、作风硬的干部队伍。累计提拔、晋升、轮岗45人次，培训各类人才800人次，面向社会招聘人才16人。</w:t>
      </w:r>
    </w:p>
    <w:p w14:paraId="0163A505">
      <w:pPr>
        <w:keepNext w:val="0"/>
        <w:keepLines w:val="0"/>
        <w:pageBreakBefore w:val="0"/>
        <w:wordWrap/>
        <w:overflowPunct/>
        <w:topLinePunct w:val="0"/>
        <w:bidi w:val="0"/>
        <w:adjustRightInd/>
        <w:snapToGrid/>
        <w:spacing w:line="240" w:lineRule="auto"/>
        <w:ind w:firstLine="640" w:firstLineChars="200"/>
        <w:jc w:val="both"/>
        <w:rPr>
          <w:rStyle w:val="15"/>
          <w:rFonts w:hint="eastAsia" w:ascii="仿宋" w:hAnsi="仿宋" w:eastAsia="仿宋" w:cs="仿宋"/>
          <w:b w:val="0"/>
          <w:bCs w:val="0"/>
          <w:i w:val="0"/>
          <w:iCs w:val="0"/>
          <w:caps w:val="0"/>
          <w:color w:val="0F1115"/>
          <w:spacing w:val="0"/>
          <w:kern w:val="2"/>
          <w:sz w:val="32"/>
          <w:szCs w:val="32"/>
          <w:highlight w:val="none"/>
          <w:u w:val="none"/>
          <w:shd w:val="clear" w:fill="FFFFFF"/>
          <w:lang w:val="en-US" w:eastAsia="zh-CN" w:bidi="ar-SA"/>
        </w:rPr>
      </w:pPr>
      <w:r>
        <w:rPr>
          <w:rStyle w:val="15"/>
          <w:rFonts w:hint="eastAsia" w:ascii="楷体" w:hAnsi="楷体" w:eastAsia="楷体" w:cs="楷体"/>
          <w:b w:val="0"/>
          <w:bCs w:val="0"/>
          <w:i w:val="0"/>
          <w:iCs w:val="0"/>
          <w:caps w:val="0"/>
          <w:color w:val="0F1115"/>
          <w:spacing w:val="0"/>
          <w:kern w:val="2"/>
          <w:sz w:val="32"/>
          <w:szCs w:val="32"/>
          <w:highlight w:val="none"/>
          <w:u w:val="none"/>
          <w:shd w:val="clear" w:fill="FFFFFF"/>
          <w:lang w:val="en-US" w:eastAsia="zh-CN" w:bidi="ar-SA"/>
        </w:rPr>
        <w:t>——坚持稳中求进，发展质效得到新提升。</w:t>
      </w:r>
      <w:r>
        <w:rPr>
          <w:rStyle w:val="15"/>
          <w:rFonts w:hint="eastAsia" w:ascii="仿宋" w:hAnsi="仿宋" w:eastAsia="仿宋" w:cs="仿宋"/>
          <w:b w:val="0"/>
          <w:bCs w:val="0"/>
          <w:i w:val="0"/>
          <w:iCs w:val="0"/>
          <w:caps w:val="0"/>
          <w:color w:val="0F1115"/>
          <w:spacing w:val="0"/>
          <w:kern w:val="2"/>
          <w:sz w:val="32"/>
          <w:szCs w:val="32"/>
          <w:highlight w:val="none"/>
          <w:u w:val="none"/>
          <w:shd w:val="clear" w:fill="FFFFFF"/>
          <w:lang w:val="en-US" w:eastAsia="zh-CN" w:bidi="ar-SA"/>
        </w:rPr>
        <w:t>面对复杂严峻的外部环境，全系统以迎难而上的韧劲，实现了从“负重爬坡”向“提质增效”的根本转变。</w:t>
      </w:r>
      <w:r>
        <w:rPr>
          <w:rStyle w:val="15"/>
          <w:rFonts w:hint="eastAsia" w:ascii="仿宋" w:hAnsi="仿宋" w:eastAsia="仿宋" w:cs="仿宋"/>
          <w:b/>
          <w:bCs/>
          <w:i w:val="0"/>
          <w:iCs w:val="0"/>
          <w:caps w:val="0"/>
          <w:color w:val="0F1115"/>
          <w:spacing w:val="0"/>
          <w:kern w:val="2"/>
          <w:sz w:val="32"/>
          <w:szCs w:val="32"/>
          <w:highlight w:val="none"/>
          <w:u w:val="none"/>
          <w:shd w:val="clear" w:fill="FFFFFF"/>
          <w:lang w:val="en-US" w:eastAsia="zh-CN" w:bidi="ar-SA"/>
        </w:rPr>
        <w:t>一是综合实力持续增强。</w:t>
      </w:r>
      <w:r>
        <w:rPr>
          <w:rStyle w:val="15"/>
          <w:rFonts w:hint="eastAsia" w:ascii="仿宋" w:hAnsi="仿宋" w:eastAsia="仿宋" w:cs="仿宋"/>
          <w:b w:val="0"/>
          <w:bCs w:val="0"/>
          <w:i w:val="0"/>
          <w:iCs w:val="0"/>
          <w:caps w:val="0"/>
          <w:color w:val="0F1115"/>
          <w:spacing w:val="0"/>
          <w:kern w:val="2"/>
          <w:sz w:val="32"/>
          <w:szCs w:val="32"/>
          <w:highlight w:val="none"/>
          <w:u w:val="none"/>
          <w:shd w:val="clear" w:fill="FFFFFF"/>
          <w:lang w:val="en-US" w:eastAsia="zh-CN" w:bidi="ar-SA"/>
        </w:rPr>
        <w:t>“十四五”期间系统销售总额突破百亿元，累计上缴税金5847.6万元。</w:t>
      </w:r>
      <w:r>
        <w:rPr>
          <w:rStyle w:val="15"/>
          <w:rFonts w:hint="eastAsia" w:ascii="仿宋" w:hAnsi="仿宋" w:eastAsia="仿宋" w:cs="仿宋"/>
          <w:b/>
          <w:bCs/>
          <w:i w:val="0"/>
          <w:iCs w:val="0"/>
          <w:caps w:val="0"/>
          <w:color w:val="0F1115"/>
          <w:spacing w:val="0"/>
          <w:kern w:val="2"/>
          <w:sz w:val="32"/>
          <w:szCs w:val="32"/>
          <w:highlight w:val="none"/>
          <w:u w:val="none"/>
          <w:shd w:val="clear" w:fill="FFFFFF"/>
          <w:lang w:val="en-US" w:eastAsia="zh-CN" w:bidi="ar-SA"/>
        </w:rPr>
        <w:t>二是综合考核持续向好。</w:t>
      </w:r>
      <w:r>
        <w:rPr>
          <w:rStyle w:val="15"/>
          <w:rFonts w:hint="eastAsia" w:ascii="仿宋" w:hAnsi="仿宋" w:eastAsia="仿宋" w:cs="仿宋"/>
          <w:b w:val="0"/>
          <w:bCs w:val="0"/>
          <w:i w:val="0"/>
          <w:iCs w:val="0"/>
          <w:caps w:val="0"/>
          <w:color w:val="0F1115"/>
          <w:spacing w:val="0"/>
          <w:kern w:val="2"/>
          <w:sz w:val="32"/>
          <w:szCs w:val="32"/>
          <w:highlight w:val="none"/>
          <w:u w:val="none"/>
          <w:shd w:val="clear" w:fill="FFFFFF"/>
          <w:lang w:val="en-US" w:eastAsia="zh-CN" w:bidi="ar-SA"/>
        </w:rPr>
        <w:t>系统在市级综合考评中四次获评先进单位；在省级综合业绩考核中特色鲜明，亮点突出，多次荣获省社“培育新动能”等单项表彰。</w:t>
      </w:r>
      <w:r>
        <w:rPr>
          <w:rStyle w:val="15"/>
          <w:rFonts w:hint="eastAsia" w:ascii="仿宋" w:hAnsi="仿宋" w:eastAsia="仿宋" w:cs="仿宋"/>
          <w:b/>
          <w:bCs/>
          <w:i w:val="0"/>
          <w:iCs w:val="0"/>
          <w:caps w:val="0"/>
          <w:color w:val="0F1115"/>
          <w:spacing w:val="0"/>
          <w:kern w:val="2"/>
          <w:sz w:val="32"/>
          <w:szCs w:val="32"/>
          <w:highlight w:val="none"/>
          <w:u w:val="none"/>
          <w:shd w:val="clear" w:fill="FFFFFF"/>
          <w:lang w:val="en-US" w:eastAsia="zh-CN" w:bidi="ar-SA"/>
        </w:rPr>
        <w:t>三是综合创新持续深化。</w:t>
      </w:r>
      <w:r>
        <w:rPr>
          <w:rStyle w:val="15"/>
          <w:rFonts w:hint="eastAsia" w:ascii="仿宋" w:hAnsi="仿宋" w:eastAsia="仿宋" w:cs="仿宋"/>
          <w:b w:val="0"/>
          <w:bCs w:val="0"/>
          <w:i w:val="0"/>
          <w:iCs w:val="0"/>
          <w:caps w:val="0"/>
          <w:color w:val="0F1115"/>
          <w:spacing w:val="0"/>
          <w:kern w:val="2"/>
          <w:sz w:val="32"/>
          <w:szCs w:val="32"/>
          <w:highlight w:val="none"/>
          <w:u w:val="none"/>
          <w:shd w:val="clear" w:fill="FFFFFF"/>
          <w:lang w:val="en-US" w:eastAsia="zh-CN" w:bidi="ar-SA"/>
        </w:rPr>
        <w:t>作为全省22个综合改革试点之一，以“市、区供销社一体化”立柱架梁，创新构建了“一中心四个一体化”运行模式，实现了市区两级“三资管理”上下贯通、运转高效的新格局。纵深推进“三位一体”综合合作，从局部试点到全面推开，圆满实现了100%全覆盖的攻坚目标。</w:t>
      </w:r>
    </w:p>
    <w:p w14:paraId="07A9AB13">
      <w:pPr>
        <w:keepNext w:val="0"/>
        <w:keepLines w:val="0"/>
        <w:pageBreakBefore w:val="0"/>
        <w:wordWrap/>
        <w:overflowPunct/>
        <w:topLinePunct w:val="0"/>
        <w:bidi w:val="0"/>
        <w:adjustRightInd/>
        <w:snapToGrid/>
        <w:spacing w:line="240" w:lineRule="auto"/>
        <w:ind w:firstLine="640" w:firstLineChars="200"/>
        <w:jc w:val="both"/>
        <w:rPr>
          <w:rStyle w:val="15"/>
          <w:rFonts w:hint="default" w:ascii="仿宋" w:hAnsi="仿宋" w:eastAsia="仿宋" w:cs="仿宋"/>
          <w:b w:val="0"/>
          <w:bCs w:val="0"/>
          <w:i w:val="0"/>
          <w:iCs w:val="0"/>
          <w:caps w:val="0"/>
          <w:color w:val="0F1115"/>
          <w:spacing w:val="0"/>
          <w:kern w:val="2"/>
          <w:sz w:val="32"/>
          <w:szCs w:val="32"/>
          <w:highlight w:val="none"/>
          <w:u w:val="none"/>
          <w:shd w:val="clear" w:fill="FFFFFF"/>
          <w:lang w:val="en-US" w:eastAsia="zh-CN" w:bidi="ar-SA"/>
        </w:rPr>
      </w:pPr>
      <w:r>
        <w:rPr>
          <w:rStyle w:val="15"/>
          <w:rFonts w:hint="eastAsia" w:ascii="楷体" w:hAnsi="楷体" w:eastAsia="楷体" w:cs="楷体"/>
          <w:b w:val="0"/>
          <w:bCs w:val="0"/>
          <w:i w:val="0"/>
          <w:iCs w:val="0"/>
          <w:caps w:val="0"/>
          <w:color w:val="0F1115"/>
          <w:spacing w:val="0"/>
          <w:kern w:val="2"/>
          <w:sz w:val="32"/>
          <w:szCs w:val="32"/>
          <w:highlight w:val="none"/>
          <w:u w:val="none"/>
          <w:shd w:val="clear" w:fill="FFFFFF"/>
          <w:lang w:val="en-US" w:eastAsia="zh-CN" w:bidi="ar-SA"/>
        </w:rPr>
        <w:t>——聚焦粮食安全，农资服务建成新体系。</w:t>
      </w:r>
      <w:r>
        <w:rPr>
          <w:rStyle w:val="15"/>
          <w:rFonts w:hint="eastAsia" w:ascii="仿宋" w:hAnsi="仿宋" w:eastAsia="仿宋" w:cs="仿宋"/>
          <w:b w:val="0"/>
          <w:bCs w:val="0"/>
          <w:i w:val="0"/>
          <w:iCs w:val="0"/>
          <w:caps w:val="0"/>
          <w:color w:val="0F1115"/>
          <w:spacing w:val="0"/>
          <w:kern w:val="2"/>
          <w:sz w:val="32"/>
          <w:szCs w:val="32"/>
          <w:highlight w:val="none"/>
          <w:u w:val="none"/>
          <w:shd w:val="clear" w:fill="FFFFFF"/>
          <w:lang w:val="en-US" w:eastAsia="zh-CN" w:bidi="ar-SA"/>
        </w:rPr>
        <w:t>坚决扛稳农资保供政治责任，持续推动服务体系从传统“门店经营”向“田间服务”转型。</w:t>
      </w:r>
      <w:r>
        <w:rPr>
          <w:rStyle w:val="15"/>
          <w:rFonts w:hint="eastAsia" w:ascii="仿宋" w:hAnsi="仿宋" w:eastAsia="仿宋" w:cs="仿宋"/>
          <w:b/>
          <w:bCs/>
          <w:i w:val="0"/>
          <w:iCs w:val="0"/>
          <w:caps w:val="0"/>
          <w:color w:val="0F1115"/>
          <w:spacing w:val="0"/>
          <w:kern w:val="2"/>
          <w:sz w:val="32"/>
          <w:szCs w:val="32"/>
          <w:highlight w:val="none"/>
          <w:u w:val="none"/>
          <w:shd w:val="clear" w:fill="FFFFFF"/>
          <w:lang w:val="en-US" w:eastAsia="zh-CN" w:bidi="ar-SA"/>
        </w:rPr>
        <w:t>一是创新集采集配模式，优化服务体系。</w:t>
      </w:r>
      <w:r>
        <w:rPr>
          <w:rStyle w:val="15"/>
          <w:rFonts w:hint="eastAsia" w:ascii="仿宋" w:hAnsi="仿宋" w:eastAsia="仿宋" w:cs="仿宋"/>
          <w:b w:val="0"/>
          <w:bCs w:val="0"/>
          <w:i w:val="0"/>
          <w:iCs w:val="0"/>
          <w:caps w:val="0"/>
          <w:color w:val="0F1115"/>
          <w:spacing w:val="0"/>
          <w:kern w:val="2"/>
          <w:sz w:val="32"/>
          <w:szCs w:val="32"/>
          <w:highlight w:val="none"/>
          <w:u w:val="none"/>
          <w:shd w:val="clear" w:fill="FFFFFF"/>
          <w:lang w:val="en-US" w:eastAsia="zh-CN" w:bidi="ar-SA"/>
        </w:rPr>
        <w:t>全面推行“集采集配+直供到户”服务模式，强化统一集采，降低进货成本，实现“点对点”直供。运用数字化平台和微信预约等方式，精准对接各类农业经营主体需求，并同步提供技术指导服务，实现保供与增效并重。</w:t>
      </w:r>
      <w:r>
        <w:rPr>
          <w:rStyle w:val="15"/>
          <w:rFonts w:hint="eastAsia" w:ascii="仿宋" w:hAnsi="仿宋" w:eastAsia="仿宋" w:cs="仿宋"/>
          <w:b/>
          <w:bCs/>
          <w:i w:val="0"/>
          <w:iCs w:val="0"/>
          <w:caps w:val="0"/>
          <w:color w:val="0F1115"/>
          <w:spacing w:val="0"/>
          <w:kern w:val="2"/>
          <w:sz w:val="32"/>
          <w:szCs w:val="32"/>
          <w:highlight w:val="none"/>
          <w:u w:val="none"/>
          <w:shd w:val="clear" w:fill="FFFFFF"/>
          <w:lang w:val="en-US" w:eastAsia="zh-CN" w:bidi="ar-SA"/>
        </w:rPr>
        <w:t>二是构建四级流通网络，提升配送效率。</w:t>
      </w:r>
      <w:r>
        <w:rPr>
          <w:rStyle w:val="15"/>
          <w:rFonts w:hint="eastAsia" w:ascii="仿宋" w:hAnsi="仿宋" w:eastAsia="仿宋" w:cs="仿宋"/>
          <w:b w:val="0"/>
          <w:bCs w:val="0"/>
          <w:i w:val="0"/>
          <w:iCs w:val="0"/>
          <w:caps w:val="0"/>
          <w:color w:val="0F1115"/>
          <w:spacing w:val="0"/>
          <w:kern w:val="2"/>
          <w:sz w:val="32"/>
          <w:szCs w:val="32"/>
          <w:highlight w:val="none"/>
          <w:u w:val="none"/>
          <w:shd w:val="clear" w:fill="FFFFFF"/>
          <w:lang w:val="en-US" w:eastAsia="zh-CN" w:bidi="ar-SA"/>
        </w:rPr>
        <w:t>以市农资行业协会和龙头企业为引领，以5家省级保供企业、43家市级经营主体为支撑，以7个配送中心、28家庄稼医院、305个村级网点为节点的“市—区—乡—村”四级农资流通配送体系，有效打通为农服务“最后一公里”，配送效率提升40%。</w:t>
      </w:r>
      <w:r>
        <w:rPr>
          <w:rStyle w:val="15"/>
          <w:rFonts w:hint="eastAsia" w:ascii="仿宋" w:hAnsi="仿宋" w:eastAsia="仿宋" w:cs="仿宋"/>
          <w:b/>
          <w:bCs/>
          <w:i w:val="0"/>
          <w:iCs w:val="0"/>
          <w:caps w:val="0"/>
          <w:color w:val="0F1115"/>
          <w:spacing w:val="0"/>
          <w:kern w:val="2"/>
          <w:sz w:val="32"/>
          <w:szCs w:val="32"/>
          <w:highlight w:val="none"/>
          <w:u w:val="none"/>
          <w:shd w:val="clear" w:fill="FFFFFF"/>
          <w:lang w:val="en-US" w:eastAsia="zh-CN" w:bidi="ar-SA"/>
        </w:rPr>
        <w:t>三是</w:t>
      </w:r>
      <w:bookmarkStart w:id="3" w:name="OLE_LINK2"/>
      <w:r>
        <w:rPr>
          <w:rStyle w:val="15"/>
          <w:rFonts w:hint="eastAsia" w:ascii="仿宋" w:hAnsi="仿宋" w:eastAsia="仿宋" w:cs="仿宋"/>
          <w:b/>
          <w:bCs/>
          <w:i w:val="0"/>
          <w:iCs w:val="0"/>
          <w:caps w:val="0"/>
          <w:color w:val="0F1115"/>
          <w:spacing w:val="0"/>
          <w:kern w:val="2"/>
          <w:sz w:val="32"/>
          <w:szCs w:val="32"/>
          <w:highlight w:val="none"/>
          <w:u w:val="none"/>
          <w:shd w:val="clear" w:fill="FFFFFF"/>
          <w:lang w:val="en-US" w:eastAsia="zh-CN" w:bidi="ar-SA"/>
        </w:rPr>
        <w:t>推动“绿色农资”升级，擦亮服务品牌</w:t>
      </w:r>
      <w:bookmarkEnd w:id="3"/>
      <w:r>
        <w:rPr>
          <w:rStyle w:val="15"/>
          <w:rFonts w:hint="eastAsia" w:ascii="仿宋" w:hAnsi="仿宋" w:eastAsia="仿宋" w:cs="仿宋"/>
          <w:b/>
          <w:bCs/>
          <w:i w:val="0"/>
          <w:iCs w:val="0"/>
          <w:caps w:val="0"/>
          <w:color w:val="0F1115"/>
          <w:spacing w:val="0"/>
          <w:kern w:val="2"/>
          <w:sz w:val="32"/>
          <w:szCs w:val="32"/>
          <w:highlight w:val="none"/>
          <w:u w:val="none"/>
          <w:shd w:val="clear" w:fill="FFFFFF"/>
          <w:lang w:val="en-US" w:eastAsia="zh-CN" w:bidi="ar-SA"/>
        </w:rPr>
        <w:t>。</w:t>
      </w:r>
      <w:r>
        <w:rPr>
          <w:rStyle w:val="15"/>
          <w:rFonts w:hint="eastAsia" w:ascii="仿宋" w:hAnsi="仿宋" w:eastAsia="仿宋" w:cs="仿宋"/>
          <w:b w:val="0"/>
          <w:bCs w:val="0"/>
          <w:i w:val="0"/>
          <w:iCs w:val="0"/>
          <w:caps w:val="0"/>
          <w:color w:val="0F1115"/>
          <w:spacing w:val="0"/>
          <w:kern w:val="2"/>
          <w:sz w:val="32"/>
          <w:szCs w:val="32"/>
          <w:highlight w:val="none"/>
          <w:u w:val="none"/>
          <w:shd w:val="clear" w:fill="FFFFFF"/>
          <w:lang w:val="en-US" w:eastAsia="zh-CN" w:bidi="ar-SA"/>
        </w:rPr>
        <w:t>严格落实农资“减量增效”要求，积极推广绿色环保农资产品，引导农民减少化肥和农药的使用量，降低农业面源污染，“供销农资、放心农资、绿色农资”已逐渐形成品牌。</w:t>
      </w:r>
    </w:p>
    <w:p w14:paraId="35A27731">
      <w:pPr>
        <w:keepNext w:val="0"/>
        <w:keepLines w:val="0"/>
        <w:pageBreakBefore w:val="0"/>
        <w:wordWrap/>
        <w:overflowPunct/>
        <w:topLinePunct w:val="0"/>
        <w:bidi w:val="0"/>
        <w:adjustRightInd/>
        <w:snapToGrid/>
        <w:spacing w:line="240" w:lineRule="auto"/>
        <w:ind w:firstLine="640" w:firstLineChars="200"/>
        <w:jc w:val="both"/>
        <w:rPr>
          <w:rStyle w:val="15"/>
          <w:rFonts w:hint="eastAsia" w:ascii="仿宋" w:hAnsi="仿宋" w:eastAsia="仿宋" w:cs="仿宋"/>
          <w:b w:val="0"/>
          <w:bCs w:val="0"/>
          <w:i w:val="0"/>
          <w:iCs w:val="0"/>
          <w:caps w:val="0"/>
          <w:color w:val="0F1115"/>
          <w:spacing w:val="0"/>
          <w:kern w:val="2"/>
          <w:sz w:val="32"/>
          <w:szCs w:val="32"/>
          <w:highlight w:val="none"/>
          <w:u w:val="none"/>
          <w:shd w:val="clear" w:fill="FFFFFF"/>
          <w:lang w:val="en-US" w:eastAsia="zh-CN" w:bidi="ar-SA"/>
        </w:rPr>
      </w:pPr>
      <w:r>
        <w:rPr>
          <w:rStyle w:val="15"/>
          <w:rFonts w:hint="eastAsia" w:ascii="楷体" w:hAnsi="楷体" w:eastAsia="楷体" w:cs="楷体"/>
          <w:b w:val="0"/>
          <w:bCs w:val="0"/>
          <w:i w:val="0"/>
          <w:iCs w:val="0"/>
          <w:caps w:val="0"/>
          <w:color w:val="0F1115"/>
          <w:spacing w:val="0"/>
          <w:kern w:val="2"/>
          <w:sz w:val="32"/>
          <w:szCs w:val="32"/>
          <w:highlight w:val="none"/>
          <w:u w:val="none"/>
          <w:shd w:val="clear" w:fill="FFFFFF"/>
          <w:lang w:val="en-US" w:eastAsia="zh-CN" w:bidi="ar-SA"/>
        </w:rPr>
        <w:t>——拓展农业服务，破解难题探索新路径。</w:t>
      </w:r>
      <w:r>
        <w:rPr>
          <w:rStyle w:val="15"/>
          <w:rFonts w:hint="eastAsia" w:ascii="仿宋" w:hAnsi="仿宋" w:eastAsia="仿宋" w:cs="仿宋"/>
          <w:b w:val="0"/>
          <w:bCs w:val="0"/>
          <w:i w:val="0"/>
          <w:iCs w:val="0"/>
          <w:caps w:val="0"/>
          <w:color w:val="0F1115"/>
          <w:spacing w:val="0"/>
          <w:kern w:val="2"/>
          <w:sz w:val="32"/>
          <w:szCs w:val="32"/>
          <w:highlight w:val="none"/>
          <w:u w:val="none"/>
          <w:shd w:val="clear" w:fill="FFFFFF"/>
          <w:lang w:val="en-US" w:eastAsia="zh-CN" w:bidi="ar-SA"/>
        </w:rPr>
        <w:t>积极回应“谁来种地、怎么种好地”的时代课题，全力推动农业社会化服务从单一环节作业向覆盖全产业链的综合服务升级。</w:t>
      </w:r>
      <w:r>
        <w:rPr>
          <w:rStyle w:val="15"/>
          <w:rFonts w:hint="eastAsia" w:ascii="仿宋" w:hAnsi="仿宋" w:eastAsia="仿宋" w:cs="仿宋"/>
          <w:b/>
          <w:bCs/>
          <w:i w:val="0"/>
          <w:iCs w:val="0"/>
          <w:caps w:val="0"/>
          <w:color w:val="0F1115"/>
          <w:spacing w:val="0"/>
          <w:kern w:val="2"/>
          <w:sz w:val="32"/>
          <w:szCs w:val="32"/>
          <w:highlight w:val="none"/>
          <w:u w:val="none"/>
          <w:shd w:val="clear" w:fill="FFFFFF"/>
          <w:lang w:val="en-US" w:eastAsia="zh-CN" w:bidi="ar-SA"/>
        </w:rPr>
        <w:t>一是拓展服务规模，提升覆盖能力。</w:t>
      </w:r>
      <w:r>
        <w:rPr>
          <w:rStyle w:val="15"/>
          <w:rFonts w:hint="eastAsia" w:ascii="仿宋" w:hAnsi="仿宋" w:eastAsia="仿宋" w:cs="仿宋"/>
          <w:b w:val="0"/>
          <w:bCs w:val="0"/>
          <w:i w:val="0"/>
          <w:iCs w:val="0"/>
          <w:caps w:val="0"/>
          <w:color w:val="0F1115"/>
          <w:spacing w:val="0"/>
          <w:kern w:val="2"/>
          <w:sz w:val="32"/>
          <w:szCs w:val="32"/>
          <w:highlight w:val="none"/>
          <w:u w:val="none"/>
          <w:shd w:val="clear" w:fill="FFFFFF"/>
          <w:lang w:val="en-US" w:eastAsia="zh-CN" w:bidi="ar-SA"/>
        </w:rPr>
        <w:t>在区级供销社成立专业农服公司，采取“政府主导、部门主管、供销主营、市场运作”模式，有效整合农机、农技等公共资源，累计提供农业社会化服务超500万亩次，平均帮助农民实现节本增收150元/亩。</w:t>
      </w:r>
      <w:r>
        <w:rPr>
          <w:rStyle w:val="15"/>
          <w:rFonts w:hint="eastAsia" w:ascii="仿宋" w:hAnsi="仿宋" w:eastAsia="仿宋" w:cs="仿宋"/>
          <w:b/>
          <w:bCs/>
          <w:i w:val="0"/>
          <w:iCs w:val="0"/>
          <w:caps w:val="0"/>
          <w:color w:val="0F1115"/>
          <w:spacing w:val="0"/>
          <w:kern w:val="2"/>
          <w:sz w:val="32"/>
          <w:szCs w:val="32"/>
          <w:highlight w:val="none"/>
          <w:u w:val="none"/>
          <w:shd w:val="clear" w:fill="FFFFFF"/>
          <w:lang w:val="en-US" w:eastAsia="zh-CN" w:bidi="ar-SA"/>
        </w:rPr>
        <w:t>二是创新服务模式，延伸服务链条。</w:t>
      </w:r>
      <w:r>
        <w:rPr>
          <w:rStyle w:val="15"/>
          <w:rFonts w:hint="eastAsia" w:ascii="仿宋" w:hAnsi="仿宋" w:eastAsia="仿宋" w:cs="仿宋"/>
          <w:b w:val="0"/>
          <w:bCs w:val="0"/>
          <w:i w:val="0"/>
          <w:iCs w:val="0"/>
          <w:caps w:val="0"/>
          <w:color w:val="0F1115"/>
          <w:spacing w:val="0"/>
          <w:kern w:val="2"/>
          <w:sz w:val="32"/>
          <w:szCs w:val="32"/>
          <w:highlight w:val="none"/>
          <w:u w:val="none"/>
          <w:shd w:val="clear" w:fill="FFFFFF"/>
          <w:lang w:val="en-US" w:eastAsia="zh-CN" w:bidi="ar-SA"/>
        </w:rPr>
        <w:t>创新实践“供销社+村集体+农户”三方持股机制，提供涵盖耕、种、管、技、收的全程服务。华容区供销社控股的湖北捌零后农业科技有限公司探索推广适应本地的新型农机具与种植模式，成功攻克芝麻生产全程机械化技术难题，该创新成果荣获2024年全市乡村振兴适用技术大赛一等奖。</w:t>
      </w:r>
      <w:r>
        <w:rPr>
          <w:rStyle w:val="15"/>
          <w:rFonts w:hint="eastAsia" w:ascii="仿宋" w:hAnsi="仿宋" w:eastAsia="仿宋" w:cs="仿宋"/>
          <w:b/>
          <w:bCs/>
          <w:i w:val="0"/>
          <w:iCs w:val="0"/>
          <w:caps w:val="0"/>
          <w:color w:val="0F1115"/>
          <w:spacing w:val="0"/>
          <w:kern w:val="2"/>
          <w:sz w:val="32"/>
          <w:szCs w:val="32"/>
          <w:highlight w:val="none"/>
          <w:u w:val="none"/>
          <w:shd w:val="clear" w:fill="FFFFFF"/>
          <w:lang w:val="en-US" w:eastAsia="zh-CN" w:bidi="ar-SA"/>
        </w:rPr>
        <w:t>三是用好试点项目，强化示范引领。</w:t>
      </w:r>
      <w:r>
        <w:rPr>
          <w:rStyle w:val="15"/>
          <w:rFonts w:hint="eastAsia" w:ascii="仿宋" w:hAnsi="仿宋" w:eastAsia="仿宋" w:cs="仿宋"/>
          <w:b w:val="0"/>
          <w:bCs w:val="0"/>
          <w:i w:val="0"/>
          <w:iCs w:val="0"/>
          <w:caps w:val="0"/>
          <w:color w:val="0F1115"/>
          <w:spacing w:val="0"/>
          <w:kern w:val="2"/>
          <w:sz w:val="32"/>
          <w:szCs w:val="32"/>
          <w:highlight w:val="none"/>
          <w:u w:val="none"/>
          <w:shd w:val="clear" w:fill="FFFFFF"/>
          <w:lang w:val="en-US" w:eastAsia="zh-CN" w:bidi="ar-SA"/>
        </w:rPr>
        <w:t>连续三年承接实施中央财政资金支持供销合作社开展农业社会化服务试点项目，累计争取专项资金827万元，完成试点面积10.66万亩，促进了小农户与现代农业发展的有机衔接。</w:t>
      </w:r>
    </w:p>
    <w:p w14:paraId="426A2C1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jc w:val="both"/>
        <w:textAlignment w:val="auto"/>
        <w:rPr>
          <w:rFonts w:hint="eastAsia"/>
          <w:sz w:val="32"/>
          <w:szCs w:val="32"/>
          <w:highlight w:val="none"/>
          <w:u w:val="none"/>
          <w:lang w:val="en-US" w:eastAsia="zh-CN"/>
        </w:rPr>
      </w:pPr>
      <w:r>
        <w:rPr>
          <w:rStyle w:val="15"/>
          <w:rFonts w:hint="eastAsia" w:ascii="楷体" w:hAnsi="楷体" w:eastAsia="楷体" w:cs="楷体"/>
          <w:b w:val="0"/>
          <w:bCs w:val="0"/>
          <w:i w:val="0"/>
          <w:iCs w:val="0"/>
          <w:caps w:val="0"/>
          <w:color w:val="0F1115"/>
          <w:spacing w:val="0"/>
          <w:kern w:val="2"/>
          <w:sz w:val="32"/>
          <w:szCs w:val="32"/>
          <w:highlight w:val="none"/>
          <w:u w:val="none"/>
          <w:shd w:val="clear" w:fill="FFFFFF"/>
          <w:lang w:val="en-US" w:eastAsia="zh-CN" w:bidi="ar-SA"/>
        </w:rPr>
        <w:t>——畅通城乡流通，助农增收取得新成效。</w:t>
      </w:r>
      <w:r>
        <w:rPr>
          <w:rStyle w:val="15"/>
          <w:rFonts w:hint="eastAsia" w:ascii="仿宋" w:hAnsi="仿宋" w:eastAsia="仿宋" w:cs="仿宋"/>
          <w:b w:val="0"/>
          <w:bCs w:val="0"/>
          <w:i w:val="0"/>
          <w:iCs w:val="0"/>
          <w:caps w:val="0"/>
          <w:color w:val="0F1115"/>
          <w:spacing w:val="0"/>
          <w:sz w:val="32"/>
          <w:szCs w:val="32"/>
          <w:highlight w:val="none"/>
          <w:u w:val="none"/>
          <w:shd w:val="clear" w:fill="FFFFFF"/>
        </w:rPr>
        <w:t>致力于破解农产品“卖难”问题，加速重构组织化、品牌化、线上线下融合的“精准对接”现代体系。</w:t>
      </w:r>
      <w:r>
        <w:rPr>
          <w:rStyle w:val="15"/>
          <w:rFonts w:hint="eastAsia" w:ascii="仿宋" w:hAnsi="仿宋" w:eastAsia="仿宋" w:cs="仿宋"/>
          <w:b/>
          <w:bCs/>
          <w:i w:val="0"/>
          <w:iCs w:val="0"/>
          <w:caps w:val="0"/>
          <w:color w:val="0F1115"/>
          <w:spacing w:val="0"/>
          <w:sz w:val="32"/>
          <w:szCs w:val="32"/>
          <w:highlight w:val="none"/>
          <w:u w:val="none"/>
          <w:shd w:val="clear" w:fill="FFFFFF"/>
          <w:lang w:eastAsia="zh-CN"/>
        </w:rPr>
        <w:t>一是搭建</w:t>
      </w:r>
      <w:r>
        <w:rPr>
          <w:rStyle w:val="15"/>
          <w:rFonts w:hint="eastAsia" w:ascii="仿宋" w:hAnsi="仿宋" w:eastAsia="仿宋" w:cs="仿宋"/>
          <w:b/>
          <w:bCs/>
          <w:i w:val="0"/>
          <w:iCs w:val="0"/>
          <w:caps w:val="0"/>
          <w:color w:val="0F1115"/>
          <w:spacing w:val="0"/>
          <w:sz w:val="32"/>
          <w:szCs w:val="32"/>
          <w:highlight w:val="none"/>
          <w:u w:val="none"/>
          <w:shd w:val="clear" w:fill="FFFFFF"/>
        </w:rPr>
        <w:t>平台</w:t>
      </w:r>
      <w:r>
        <w:rPr>
          <w:rStyle w:val="15"/>
          <w:rFonts w:hint="eastAsia" w:ascii="仿宋" w:hAnsi="仿宋" w:eastAsia="仿宋" w:cs="仿宋"/>
          <w:b/>
          <w:bCs/>
          <w:i w:val="0"/>
          <w:iCs w:val="0"/>
          <w:caps w:val="0"/>
          <w:color w:val="0F1115"/>
          <w:spacing w:val="0"/>
          <w:sz w:val="32"/>
          <w:szCs w:val="32"/>
          <w:highlight w:val="none"/>
          <w:u w:val="none"/>
          <w:shd w:val="clear" w:fill="FFFFFF"/>
          <w:lang w:eastAsia="zh-CN"/>
        </w:rPr>
        <w:t>载体</w:t>
      </w:r>
      <w:r>
        <w:rPr>
          <w:rStyle w:val="15"/>
          <w:rFonts w:hint="eastAsia" w:ascii="仿宋" w:hAnsi="仿宋" w:eastAsia="仿宋" w:cs="仿宋"/>
          <w:b/>
          <w:bCs/>
          <w:i w:val="0"/>
          <w:iCs w:val="0"/>
          <w:caps w:val="0"/>
          <w:color w:val="0F1115"/>
          <w:spacing w:val="0"/>
          <w:sz w:val="32"/>
          <w:szCs w:val="32"/>
          <w:highlight w:val="none"/>
          <w:u w:val="none"/>
          <w:shd w:val="clear" w:fill="FFFFFF"/>
        </w:rPr>
        <w:t>。</w:t>
      </w:r>
      <w:r>
        <w:rPr>
          <w:rStyle w:val="15"/>
          <w:rFonts w:hint="eastAsia" w:ascii="仿宋" w:hAnsi="仿宋" w:eastAsia="仿宋" w:cs="仿宋"/>
          <w:b w:val="0"/>
          <w:bCs w:val="0"/>
          <w:i w:val="0"/>
          <w:iCs w:val="0"/>
          <w:caps w:val="0"/>
          <w:color w:val="0F1115"/>
          <w:spacing w:val="0"/>
          <w:sz w:val="32"/>
          <w:szCs w:val="32"/>
          <w:highlight w:val="none"/>
          <w:u w:val="none"/>
          <w:shd w:val="clear" w:fill="FFFFFF"/>
        </w:rPr>
        <w:t>主动融入全省“一盘棋”布局，依托省级农资、粮油、日用品、再生资源、茶产业的“一网五链”供应链平台，</w:t>
      </w:r>
      <w:r>
        <w:rPr>
          <w:rFonts w:hint="eastAsia" w:ascii="仿宋" w:hAnsi="仿宋" w:eastAsia="仿宋" w:cs="仿宋"/>
          <w:color w:val="000000"/>
          <w:kern w:val="0"/>
          <w:sz w:val="32"/>
          <w:szCs w:val="32"/>
          <w:highlight w:val="none"/>
          <w:u w:val="none"/>
        </w:rPr>
        <w:t>推动社有企业、乡村经营网点“入链”、“用链”</w:t>
      </w:r>
      <w:r>
        <w:rPr>
          <w:rFonts w:hint="eastAsia" w:ascii="仿宋_GB2312" w:hAnsi="仿宋_GB2312" w:eastAsia="仿宋_GB2312" w:cs="仿宋_GB2312"/>
          <w:sz w:val="32"/>
          <w:szCs w:val="32"/>
          <w:highlight w:val="none"/>
          <w:u w:val="none"/>
        </w:rPr>
        <w:t>，实现了线上线下全平台运作</w:t>
      </w:r>
      <w:r>
        <w:rPr>
          <w:rFonts w:hint="eastAsia" w:ascii="仿宋" w:hAnsi="仿宋" w:eastAsia="仿宋" w:cs="仿宋"/>
          <w:sz w:val="32"/>
          <w:szCs w:val="32"/>
          <w:highlight w:val="none"/>
          <w:u w:val="none"/>
        </w:rPr>
        <w:t>。</w:t>
      </w:r>
      <w:r>
        <w:rPr>
          <w:rStyle w:val="15"/>
          <w:rFonts w:hint="eastAsia" w:ascii="仿宋" w:hAnsi="仿宋" w:eastAsia="仿宋" w:cs="仿宋"/>
          <w:b/>
          <w:bCs/>
          <w:i w:val="0"/>
          <w:iCs w:val="0"/>
          <w:caps w:val="0"/>
          <w:color w:val="0F1115"/>
          <w:spacing w:val="0"/>
          <w:sz w:val="32"/>
          <w:szCs w:val="32"/>
          <w:highlight w:val="none"/>
          <w:u w:val="none"/>
          <w:shd w:val="clear" w:fill="FFFFFF"/>
          <w:lang w:eastAsia="zh-CN"/>
        </w:rPr>
        <w:t>二是</w:t>
      </w:r>
      <w:r>
        <w:rPr>
          <w:rStyle w:val="15"/>
          <w:rFonts w:hint="eastAsia" w:ascii="仿宋" w:hAnsi="仿宋" w:eastAsia="仿宋" w:cs="仿宋"/>
          <w:b/>
          <w:bCs/>
          <w:i w:val="0"/>
          <w:iCs w:val="0"/>
          <w:caps w:val="0"/>
          <w:color w:val="0F1115"/>
          <w:spacing w:val="0"/>
          <w:sz w:val="32"/>
          <w:szCs w:val="32"/>
          <w:highlight w:val="none"/>
          <w:u w:val="none"/>
          <w:shd w:val="clear" w:fill="FFFFFF"/>
        </w:rPr>
        <w:t>健全网络体系。</w:t>
      </w:r>
      <w:r>
        <w:rPr>
          <w:rStyle w:val="15"/>
          <w:rFonts w:hint="eastAsia" w:ascii="仿宋" w:hAnsi="仿宋" w:eastAsia="仿宋" w:cs="仿宋"/>
          <w:b w:val="0"/>
          <w:bCs w:val="0"/>
          <w:i w:val="0"/>
          <w:iCs w:val="0"/>
          <w:caps w:val="0"/>
          <w:color w:val="0F1115"/>
          <w:spacing w:val="0"/>
          <w:sz w:val="32"/>
          <w:szCs w:val="32"/>
          <w:highlight w:val="none"/>
          <w:u w:val="none"/>
          <w:shd w:val="clear" w:fill="FFFFFF"/>
        </w:rPr>
        <w:t>持续优化流通基础设施布局，基本构建起“区有配送中心、乡镇有供销超市、村有综合服务社”的三级实体网络。着力打造“一点多能、一网通用、一体融合”的集约化流通服务网络，显著提升了农产品从田间到市场的集散、配送效率。</w:t>
      </w:r>
      <w:r>
        <w:rPr>
          <w:rStyle w:val="15"/>
          <w:rFonts w:hint="eastAsia" w:ascii="仿宋" w:hAnsi="仿宋" w:eastAsia="仿宋" w:cs="仿宋"/>
          <w:b/>
          <w:bCs/>
          <w:i w:val="0"/>
          <w:iCs w:val="0"/>
          <w:caps w:val="0"/>
          <w:color w:val="0F1115"/>
          <w:spacing w:val="0"/>
          <w:sz w:val="32"/>
          <w:szCs w:val="32"/>
          <w:highlight w:val="none"/>
          <w:u w:val="none"/>
          <w:shd w:val="clear" w:fill="FFFFFF"/>
          <w:lang w:eastAsia="zh-CN"/>
        </w:rPr>
        <w:t>三是</w:t>
      </w:r>
      <w:r>
        <w:rPr>
          <w:rStyle w:val="15"/>
          <w:rFonts w:hint="eastAsia" w:ascii="仿宋" w:hAnsi="仿宋" w:eastAsia="仿宋" w:cs="仿宋"/>
          <w:b/>
          <w:bCs/>
          <w:i w:val="0"/>
          <w:iCs w:val="0"/>
          <w:caps w:val="0"/>
          <w:color w:val="0F1115"/>
          <w:spacing w:val="0"/>
          <w:sz w:val="32"/>
          <w:szCs w:val="32"/>
          <w:highlight w:val="none"/>
          <w:u w:val="none"/>
          <w:shd w:val="clear" w:fill="FFFFFF"/>
        </w:rPr>
        <w:t>创新</w:t>
      </w:r>
      <w:r>
        <w:rPr>
          <w:rStyle w:val="15"/>
          <w:rFonts w:hint="eastAsia" w:ascii="仿宋" w:hAnsi="仿宋" w:eastAsia="仿宋" w:cs="仿宋"/>
          <w:b/>
          <w:bCs/>
          <w:i w:val="0"/>
          <w:iCs w:val="0"/>
          <w:caps w:val="0"/>
          <w:color w:val="0F1115"/>
          <w:spacing w:val="0"/>
          <w:sz w:val="32"/>
          <w:szCs w:val="32"/>
          <w:highlight w:val="none"/>
          <w:u w:val="none"/>
          <w:shd w:val="clear" w:fill="FFFFFF"/>
          <w:lang w:eastAsia="zh-CN"/>
        </w:rPr>
        <w:t>流通</w:t>
      </w:r>
      <w:r>
        <w:rPr>
          <w:rStyle w:val="15"/>
          <w:rFonts w:hint="eastAsia" w:ascii="仿宋" w:hAnsi="仿宋" w:eastAsia="仿宋" w:cs="仿宋"/>
          <w:b/>
          <w:bCs/>
          <w:i w:val="0"/>
          <w:iCs w:val="0"/>
          <w:caps w:val="0"/>
          <w:color w:val="0F1115"/>
          <w:spacing w:val="0"/>
          <w:sz w:val="32"/>
          <w:szCs w:val="32"/>
          <w:highlight w:val="none"/>
          <w:u w:val="none"/>
          <w:shd w:val="clear" w:fill="FFFFFF"/>
        </w:rPr>
        <w:t>模式。</w:t>
      </w:r>
      <w:r>
        <w:rPr>
          <w:rStyle w:val="15"/>
          <w:rFonts w:hint="eastAsia" w:ascii="仿宋" w:hAnsi="仿宋" w:eastAsia="仿宋" w:cs="仿宋"/>
          <w:b w:val="0"/>
          <w:bCs w:val="0"/>
          <w:i w:val="0"/>
          <w:iCs w:val="0"/>
          <w:caps w:val="0"/>
          <w:color w:val="0F1115"/>
          <w:spacing w:val="0"/>
          <w:sz w:val="32"/>
          <w:szCs w:val="32"/>
          <w:highlight w:val="none"/>
          <w:u w:val="none"/>
          <w:shd w:val="clear" w:fill="FFFFFF"/>
        </w:rPr>
        <w:t>积极组织企业</w:t>
      </w:r>
      <w:r>
        <w:rPr>
          <w:rStyle w:val="15"/>
          <w:rFonts w:hint="eastAsia" w:ascii="仿宋" w:hAnsi="仿宋" w:eastAsia="仿宋" w:cs="仿宋"/>
          <w:b w:val="0"/>
          <w:bCs w:val="0"/>
          <w:i w:val="0"/>
          <w:iCs w:val="0"/>
          <w:caps w:val="0"/>
          <w:color w:val="0F1115"/>
          <w:spacing w:val="0"/>
          <w:sz w:val="32"/>
          <w:szCs w:val="32"/>
          <w:highlight w:val="none"/>
          <w:u w:val="none"/>
          <w:shd w:val="clear" w:fill="FFFFFF"/>
          <w:lang w:val="en-US" w:eastAsia="zh-CN"/>
        </w:rPr>
        <w:t>和农民专业合作社等</w:t>
      </w:r>
      <w:r>
        <w:rPr>
          <w:rStyle w:val="15"/>
          <w:rFonts w:hint="eastAsia" w:ascii="仿宋" w:hAnsi="仿宋" w:eastAsia="仿宋" w:cs="仿宋"/>
          <w:b w:val="0"/>
          <w:bCs w:val="0"/>
          <w:i w:val="0"/>
          <w:iCs w:val="0"/>
          <w:caps w:val="0"/>
          <w:color w:val="0F1115"/>
          <w:spacing w:val="0"/>
          <w:sz w:val="32"/>
          <w:szCs w:val="32"/>
          <w:highlight w:val="none"/>
          <w:u w:val="none"/>
          <w:shd w:val="clear" w:fill="FFFFFF"/>
        </w:rPr>
        <w:t>参与各类展会，提升本土农产品品牌知名度与市场影响力。大力推动数字赋能，综合运用直播带货、短视频推广、网订店取、直营直销等多种“线上+线下”融合手段，构建了多元立体的营销体系，有效补齐流通短板。</w:t>
      </w:r>
    </w:p>
    <w:p w14:paraId="7BFE66A3">
      <w:pPr>
        <w:keepNext w:val="0"/>
        <w:keepLines w:val="0"/>
        <w:pageBreakBefore w:val="0"/>
        <w:widowControl/>
        <w:suppressLineNumbers w:val="0"/>
        <w:kinsoku/>
        <w:wordWrap/>
        <w:overflowPunct/>
        <w:topLinePunct w:val="0"/>
        <w:autoSpaceDE/>
        <w:autoSpaceDN/>
        <w:bidi w:val="0"/>
        <w:adjustRightInd/>
        <w:snapToGrid/>
        <w:spacing w:line="240" w:lineRule="auto"/>
        <w:ind w:firstLine="640" w:firstLineChars="200"/>
        <w:jc w:val="both"/>
        <w:textAlignment w:val="auto"/>
        <w:rPr>
          <w:rStyle w:val="15"/>
          <w:rFonts w:hint="eastAsia" w:ascii="仿宋" w:hAnsi="仿宋" w:eastAsia="仿宋" w:cs="仿宋"/>
          <w:b w:val="0"/>
          <w:bCs w:val="0"/>
          <w:i w:val="0"/>
          <w:iCs w:val="0"/>
          <w:caps w:val="0"/>
          <w:color w:val="0F1115"/>
          <w:spacing w:val="0"/>
          <w:sz w:val="32"/>
          <w:szCs w:val="32"/>
          <w:highlight w:val="none"/>
          <w:u w:val="none"/>
          <w:shd w:val="clear" w:fill="FFFFFF"/>
        </w:rPr>
      </w:pPr>
      <w:r>
        <w:rPr>
          <w:rStyle w:val="15"/>
          <w:rFonts w:hint="eastAsia" w:ascii="楷体" w:hAnsi="楷体" w:eastAsia="楷体" w:cs="楷体"/>
          <w:b w:val="0"/>
          <w:bCs w:val="0"/>
          <w:i w:val="0"/>
          <w:iCs w:val="0"/>
          <w:caps w:val="0"/>
          <w:color w:val="0F1115"/>
          <w:spacing w:val="0"/>
          <w:sz w:val="32"/>
          <w:szCs w:val="32"/>
          <w:highlight w:val="none"/>
          <w:u w:val="none"/>
          <w:shd w:val="clear" w:fill="FFFFFF"/>
        </w:rPr>
        <w:t>——践行绿色理念，循环经济构建新格局</w:t>
      </w:r>
      <w:r>
        <w:rPr>
          <w:rStyle w:val="15"/>
          <w:rFonts w:hint="eastAsia" w:ascii="楷体" w:hAnsi="楷体" w:eastAsia="楷体" w:cs="楷体"/>
          <w:b w:val="0"/>
          <w:bCs w:val="0"/>
          <w:i w:val="0"/>
          <w:iCs w:val="0"/>
          <w:caps w:val="0"/>
          <w:color w:val="0F1115"/>
          <w:spacing w:val="0"/>
          <w:sz w:val="32"/>
          <w:szCs w:val="32"/>
          <w:highlight w:val="none"/>
          <w:u w:val="none"/>
          <w:shd w:val="clear" w:fill="FFFFFF"/>
          <w:lang w:val="en-US" w:eastAsia="zh-CN"/>
        </w:rPr>
        <w:t>。</w:t>
      </w:r>
      <w:bookmarkStart w:id="4" w:name="OLE_LINK10"/>
      <w:r>
        <w:rPr>
          <w:rStyle w:val="15"/>
          <w:rFonts w:hint="eastAsia" w:ascii="仿宋" w:hAnsi="仿宋" w:eastAsia="仿宋" w:cs="仿宋"/>
          <w:b w:val="0"/>
          <w:bCs w:val="0"/>
          <w:i w:val="0"/>
          <w:iCs w:val="0"/>
          <w:caps w:val="0"/>
          <w:color w:val="0F1115"/>
          <w:spacing w:val="0"/>
          <w:sz w:val="32"/>
          <w:szCs w:val="32"/>
          <w:highlight w:val="none"/>
          <w:u w:val="none"/>
          <w:shd w:val="clear" w:fill="FFFFFF"/>
        </w:rPr>
        <w:t>积极融入生态文明建设大局，初步构建了网络完善、运营规范、利用高效的循环经济发展新格局。</w:t>
      </w:r>
      <w:r>
        <w:rPr>
          <w:rStyle w:val="15"/>
          <w:rFonts w:hint="eastAsia" w:ascii="仿宋" w:hAnsi="仿宋" w:eastAsia="仿宋" w:cs="仿宋"/>
          <w:b/>
          <w:bCs/>
          <w:i w:val="0"/>
          <w:iCs w:val="0"/>
          <w:caps w:val="0"/>
          <w:color w:val="0F1115"/>
          <w:spacing w:val="0"/>
          <w:sz w:val="32"/>
          <w:szCs w:val="32"/>
          <w:highlight w:val="none"/>
          <w:u w:val="none"/>
          <w:shd w:val="clear" w:fill="FFFFFF"/>
          <w:lang w:eastAsia="zh-CN"/>
        </w:rPr>
        <w:t>一是</w:t>
      </w:r>
      <w:r>
        <w:rPr>
          <w:rStyle w:val="15"/>
          <w:rFonts w:hint="eastAsia" w:ascii="仿宋" w:hAnsi="仿宋" w:eastAsia="仿宋" w:cs="仿宋"/>
          <w:b/>
          <w:bCs/>
          <w:i w:val="0"/>
          <w:iCs w:val="0"/>
          <w:caps w:val="0"/>
          <w:color w:val="0F1115"/>
          <w:spacing w:val="0"/>
          <w:sz w:val="32"/>
          <w:szCs w:val="32"/>
          <w:highlight w:val="none"/>
          <w:u w:val="none"/>
          <w:shd w:val="clear" w:fill="FFFFFF"/>
        </w:rPr>
        <w:t>构建全域覆盖的回收利用网络。</w:t>
      </w:r>
      <w:r>
        <w:rPr>
          <w:rStyle w:val="15"/>
          <w:rFonts w:hint="eastAsia" w:ascii="仿宋" w:hAnsi="仿宋" w:eastAsia="仿宋" w:cs="仿宋"/>
          <w:b w:val="0"/>
          <w:bCs w:val="0"/>
          <w:i w:val="0"/>
          <w:iCs w:val="0"/>
          <w:caps w:val="0"/>
          <w:color w:val="0F1115"/>
          <w:spacing w:val="0"/>
          <w:sz w:val="32"/>
          <w:szCs w:val="32"/>
          <w:highlight w:val="none"/>
          <w:u w:val="none"/>
          <w:shd w:val="clear" w:fill="FFFFFF"/>
        </w:rPr>
        <w:t>坚持“龙头企业带动、县域分拣支撑、乡镇中转加密、村级前端延伸”的思路，</w:t>
      </w:r>
      <w:r>
        <w:rPr>
          <w:rStyle w:val="15"/>
          <w:rFonts w:hint="eastAsia" w:ascii="仿宋" w:hAnsi="仿宋" w:eastAsia="仿宋" w:cs="仿宋"/>
          <w:b w:val="0"/>
          <w:bCs w:val="0"/>
          <w:i w:val="0"/>
          <w:iCs w:val="0"/>
          <w:caps w:val="0"/>
          <w:color w:val="0F1115"/>
          <w:spacing w:val="0"/>
          <w:sz w:val="32"/>
          <w:szCs w:val="32"/>
          <w:highlight w:val="none"/>
          <w:u w:val="none"/>
          <w:shd w:val="clear" w:fill="FFFFFF"/>
          <w:lang w:val="en-US" w:eastAsia="zh-CN"/>
        </w:rPr>
        <w:t>全市</w:t>
      </w:r>
      <w:r>
        <w:rPr>
          <w:rStyle w:val="15"/>
          <w:rFonts w:hint="eastAsia" w:ascii="仿宋" w:hAnsi="仿宋" w:eastAsia="仿宋" w:cs="仿宋"/>
          <w:b w:val="0"/>
          <w:bCs w:val="0"/>
          <w:i w:val="0"/>
          <w:iCs w:val="0"/>
          <w:caps w:val="0"/>
          <w:color w:val="0F1115"/>
          <w:spacing w:val="0"/>
          <w:sz w:val="32"/>
          <w:szCs w:val="32"/>
          <w:highlight w:val="none"/>
          <w:u w:val="none"/>
          <w:shd w:val="clear" w:fill="FFFFFF"/>
        </w:rPr>
        <w:t>已建成回收站点81个（其中标准化站点27个）、分拣中心3个（含绿色分拣中心1个），培育利废企业2家，实施循环经济发展项目1个。</w:t>
      </w:r>
      <w:r>
        <w:rPr>
          <w:rStyle w:val="15"/>
          <w:rFonts w:hint="eastAsia" w:ascii="仿宋" w:hAnsi="仿宋" w:eastAsia="仿宋" w:cs="仿宋"/>
          <w:b/>
          <w:bCs/>
          <w:i w:val="0"/>
          <w:iCs w:val="0"/>
          <w:caps w:val="0"/>
          <w:color w:val="0F1115"/>
          <w:spacing w:val="0"/>
          <w:sz w:val="32"/>
          <w:szCs w:val="32"/>
          <w:highlight w:val="none"/>
          <w:u w:val="none"/>
          <w:shd w:val="clear" w:fill="FFFFFF"/>
        </w:rPr>
        <w:t>二</w:t>
      </w:r>
      <w:r>
        <w:rPr>
          <w:rStyle w:val="15"/>
          <w:rFonts w:hint="eastAsia" w:ascii="仿宋" w:hAnsi="仿宋" w:eastAsia="仿宋" w:cs="仿宋"/>
          <w:b/>
          <w:bCs/>
          <w:i w:val="0"/>
          <w:iCs w:val="0"/>
          <w:caps w:val="0"/>
          <w:color w:val="0F1115"/>
          <w:spacing w:val="0"/>
          <w:sz w:val="32"/>
          <w:szCs w:val="32"/>
          <w:highlight w:val="none"/>
          <w:u w:val="none"/>
          <w:shd w:val="clear" w:fill="FFFFFF"/>
          <w:lang w:eastAsia="zh-CN"/>
        </w:rPr>
        <w:t>是</w:t>
      </w:r>
      <w:r>
        <w:rPr>
          <w:rStyle w:val="15"/>
          <w:rFonts w:hint="eastAsia" w:ascii="仿宋" w:hAnsi="仿宋" w:eastAsia="仿宋" w:cs="仿宋"/>
          <w:b/>
          <w:bCs/>
          <w:i w:val="0"/>
          <w:iCs w:val="0"/>
          <w:caps w:val="0"/>
          <w:color w:val="0F1115"/>
          <w:spacing w:val="0"/>
          <w:sz w:val="32"/>
          <w:szCs w:val="32"/>
          <w:highlight w:val="none"/>
          <w:u w:val="none"/>
          <w:shd w:val="clear" w:fill="FFFFFF"/>
        </w:rPr>
        <w:t>深化“两网融合”协同治理。</w:t>
      </w:r>
      <w:r>
        <w:rPr>
          <w:rStyle w:val="15"/>
          <w:rFonts w:hint="eastAsia" w:ascii="仿宋" w:hAnsi="仿宋" w:eastAsia="仿宋" w:cs="仿宋"/>
          <w:b w:val="0"/>
          <w:bCs w:val="0"/>
          <w:i w:val="0"/>
          <w:iCs w:val="0"/>
          <w:caps w:val="0"/>
          <w:color w:val="0F1115"/>
          <w:spacing w:val="0"/>
          <w:sz w:val="32"/>
          <w:szCs w:val="32"/>
          <w:highlight w:val="none"/>
          <w:u w:val="none"/>
          <w:shd w:val="clear" w:fill="FFFFFF"/>
        </w:rPr>
        <w:t>试点推进“环卫+再生资源”联合收运模式，实现人员、设施与作业流程的协同共享。</w:t>
      </w:r>
      <w:r>
        <w:rPr>
          <w:rStyle w:val="15"/>
          <w:rFonts w:hint="eastAsia" w:ascii="仿宋" w:hAnsi="仿宋" w:eastAsia="仿宋" w:cs="仿宋"/>
          <w:b w:val="0"/>
          <w:bCs w:val="0"/>
          <w:i w:val="0"/>
          <w:iCs w:val="0"/>
          <w:caps w:val="0"/>
          <w:color w:val="0F1115"/>
          <w:spacing w:val="0"/>
          <w:sz w:val="32"/>
          <w:szCs w:val="32"/>
          <w:highlight w:val="none"/>
          <w:u w:val="none"/>
          <w:shd w:val="clear" w:fill="FFFFFF"/>
          <w:lang w:val="en-US" w:eastAsia="zh-CN"/>
        </w:rPr>
        <w:t>梁子湖区供销社</w:t>
      </w:r>
      <w:r>
        <w:rPr>
          <w:rStyle w:val="15"/>
          <w:rFonts w:hint="eastAsia" w:ascii="仿宋" w:hAnsi="仿宋" w:eastAsia="仿宋" w:cs="仿宋"/>
          <w:b w:val="0"/>
          <w:bCs w:val="0"/>
          <w:i w:val="0"/>
          <w:iCs w:val="0"/>
          <w:caps w:val="0"/>
          <w:color w:val="0F1115"/>
          <w:spacing w:val="0"/>
          <w:sz w:val="32"/>
          <w:szCs w:val="32"/>
          <w:highlight w:val="none"/>
          <w:u w:val="none"/>
          <w:shd w:val="clear" w:fill="FFFFFF"/>
        </w:rPr>
        <w:t>依托基层服务网点，积极参与农村人居环境整治，推动生活垃圾源头减量与资源化回收，</w:t>
      </w:r>
      <w:r>
        <w:rPr>
          <w:rStyle w:val="15"/>
          <w:rFonts w:hint="eastAsia" w:ascii="仿宋" w:hAnsi="仿宋" w:eastAsia="仿宋" w:cs="仿宋"/>
          <w:b w:val="0"/>
          <w:bCs w:val="0"/>
          <w:i w:val="0"/>
          <w:iCs w:val="0"/>
          <w:caps w:val="0"/>
          <w:color w:val="0F1115"/>
          <w:spacing w:val="0"/>
          <w:sz w:val="32"/>
          <w:szCs w:val="32"/>
          <w:highlight w:val="none"/>
          <w:u w:val="none"/>
          <w:shd w:val="clear" w:fill="FFFFFF"/>
          <w:lang w:val="en-US" w:eastAsia="zh-CN"/>
        </w:rPr>
        <w:t>得到了省社的充分肯定</w:t>
      </w:r>
      <w:r>
        <w:rPr>
          <w:rStyle w:val="15"/>
          <w:rFonts w:hint="eastAsia" w:ascii="仿宋" w:hAnsi="仿宋" w:eastAsia="仿宋" w:cs="仿宋"/>
          <w:b w:val="0"/>
          <w:bCs w:val="0"/>
          <w:i w:val="0"/>
          <w:iCs w:val="0"/>
          <w:caps w:val="0"/>
          <w:color w:val="0F1115"/>
          <w:spacing w:val="0"/>
          <w:sz w:val="32"/>
          <w:szCs w:val="32"/>
          <w:highlight w:val="none"/>
          <w:u w:val="none"/>
          <w:shd w:val="clear" w:fill="FFFFFF"/>
        </w:rPr>
        <w:t>。</w:t>
      </w:r>
      <w:r>
        <w:rPr>
          <w:rStyle w:val="15"/>
          <w:rFonts w:hint="eastAsia" w:ascii="仿宋" w:hAnsi="仿宋" w:eastAsia="仿宋" w:cs="仿宋"/>
          <w:b/>
          <w:bCs/>
          <w:i w:val="0"/>
          <w:iCs w:val="0"/>
          <w:caps w:val="0"/>
          <w:color w:val="0F1115"/>
          <w:spacing w:val="0"/>
          <w:sz w:val="32"/>
          <w:szCs w:val="32"/>
          <w:highlight w:val="none"/>
          <w:u w:val="none"/>
          <w:shd w:val="clear" w:fill="FFFFFF"/>
          <w:lang w:eastAsia="zh-CN"/>
        </w:rPr>
        <w:t>三是</w:t>
      </w:r>
      <w:r>
        <w:rPr>
          <w:rStyle w:val="15"/>
          <w:rFonts w:hint="eastAsia" w:ascii="仿宋" w:hAnsi="仿宋" w:eastAsia="仿宋" w:cs="仿宋"/>
          <w:b/>
          <w:bCs/>
          <w:i w:val="0"/>
          <w:iCs w:val="0"/>
          <w:caps w:val="0"/>
          <w:color w:val="0F1115"/>
          <w:spacing w:val="0"/>
          <w:sz w:val="32"/>
          <w:szCs w:val="32"/>
          <w:highlight w:val="none"/>
          <w:u w:val="none"/>
          <w:shd w:val="clear" w:fill="FFFFFF"/>
        </w:rPr>
        <w:t>拓展循环经济服务领域。</w:t>
      </w:r>
      <w:bookmarkEnd w:id="4"/>
      <w:r>
        <w:rPr>
          <w:rStyle w:val="15"/>
          <w:rFonts w:hint="eastAsia" w:ascii="仿宋" w:hAnsi="仿宋" w:eastAsia="仿宋" w:cs="仿宋"/>
          <w:b w:val="0"/>
          <w:bCs w:val="0"/>
          <w:i w:val="0"/>
          <w:iCs w:val="0"/>
          <w:caps w:val="0"/>
          <w:color w:val="0F1115"/>
          <w:spacing w:val="0"/>
          <w:sz w:val="32"/>
          <w:szCs w:val="32"/>
          <w:highlight w:val="none"/>
          <w:u w:val="none"/>
          <w:shd w:val="clear" w:fill="FFFFFF"/>
          <w:lang w:eastAsia="zh-CN"/>
        </w:rPr>
        <w:t>大力推进</w:t>
      </w:r>
      <w:r>
        <w:rPr>
          <w:rStyle w:val="15"/>
          <w:rFonts w:hint="eastAsia" w:ascii="仿宋" w:hAnsi="仿宋" w:eastAsia="仿宋" w:cs="仿宋"/>
          <w:b w:val="0"/>
          <w:bCs w:val="0"/>
          <w:i w:val="0"/>
          <w:iCs w:val="0"/>
          <w:caps w:val="0"/>
          <w:color w:val="0F1115"/>
          <w:spacing w:val="0"/>
          <w:kern w:val="2"/>
          <w:sz w:val="32"/>
          <w:szCs w:val="32"/>
          <w:highlight w:val="none"/>
          <w:u w:val="none"/>
          <w:shd w:val="clear" w:fill="FFFFFF"/>
          <w:lang w:val="en-US" w:eastAsia="zh-CN" w:bidi="ar-SA"/>
        </w:rPr>
        <w:t>国家“两新”战略，充分发挥再生资源协会行业组织作用，依托省级公共服务平台，累计回收废旧家电24406台，规范拆解133960台。健全农资包装废弃物回收处理机制，在全市21个乡镇同步推动农业投入品减量与废弃物回收，全面禁止销售不合规农膜及塑料制品，累计回收废旧农膜2000余吨、农药包装废弃物1000余吨。</w:t>
      </w:r>
    </w:p>
    <w:p w14:paraId="218527EB">
      <w:pPr>
        <w:keepNext w:val="0"/>
        <w:keepLines w:val="0"/>
        <w:pageBreakBefore w:val="0"/>
        <w:widowControl/>
        <w:suppressLineNumbers w:val="0"/>
        <w:kinsoku/>
        <w:wordWrap/>
        <w:overflowPunct/>
        <w:topLinePunct w:val="0"/>
        <w:autoSpaceDE/>
        <w:autoSpaceDN/>
        <w:bidi w:val="0"/>
        <w:adjustRightInd/>
        <w:snapToGrid/>
        <w:spacing w:line="240" w:lineRule="auto"/>
        <w:ind w:firstLine="640" w:firstLineChars="200"/>
        <w:jc w:val="both"/>
        <w:textAlignment w:val="auto"/>
        <w:rPr>
          <w:rStyle w:val="15"/>
          <w:rFonts w:hint="eastAsia" w:ascii="仿宋" w:hAnsi="仿宋" w:eastAsia="仿宋" w:cs="仿宋"/>
          <w:b w:val="0"/>
          <w:bCs w:val="0"/>
          <w:i w:val="0"/>
          <w:iCs w:val="0"/>
          <w:caps w:val="0"/>
          <w:color w:val="0F1115"/>
          <w:spacing w:val="0"/>
          <w:sz w:val="32"/>
          <w:szCs w:val="32"/>
          <w:highlight w:val="none"/>
          <w:u w:val="none"/>
          <w:shd w:val="clear" w:fill="FFFFFF"/>
        </w:rPr>
      </w:pPr>
      <w:r>
        <w:rPr>
          <w:rFonts w:hint="eastAsia" w:ascii="楷体" w:hAnsi="楷体" w:eastAsia="楷体" w:cs="楷体"/>
          <w:b w:val="0"/>
          <w:bCs w:val="0"/>
          <w:i w:val="0"/>
          <w:iCs w:val="0"/>
          <w:caps w:val="0"/>
          <w:color w:val="0F1115"/>
          <w:spacing w:val="0"/>
          <w:sz w:val="32"/>
          <w:szCs w:val="32"/>
          <w:highlight w:val="none"/>
          <w:u w:val="none"/>
          <w:shd w:val="clear" w:color="auto" w:fill="FFFFFF"/>
          <w:lang w:eastAsia="zh-CN"/>
        </w:rPr>
        <w:t>——</w:t>
      </w:r>
      <w:r>
        <w:rPr>
          <w:rFonts w:hint="eastAsia" w:ascii="楷体" w:hAnsi="楷体" w:eastAsia="楷体" w:cs="楷体"/>
          <w:b w:val="0"/>
          <w:bCs w:val="0"/>
          <w:i w:val="0"/>
          <w:iCs w:val="0"/>
          <w:caps w:val="0"/>
          <w:color w:val="0F1115"/>
          <w:spacing w:val="0"/>
          <w:sz w:val="32"/>
          <w:szCs w:val="32"/>
          <w:highlight w:val="none"/>
          <w:u w:val="none"/>
          <w:shd w:val="clear" w:fill="FFFFFF"/>
          <w:lang w:val="en-US" w:eastAsia="zh-CN"/>
        </w:rPr>
        <w:t>勇于破旧立新</w:t>
      </w:r>
      <w:r>
        <w:rPr>
          <w:rFonts w:hint="eastAsia" w:ascii="楷体" w:hAnsi="楷体" w:eastAsia="楷体" w:cs="楷体"/>
          <w:b w:val="0"/>
          <w:bCs w:val="0"/>
          <w:i w:val="0"/>
          <w:iCs w:val="0"/>
          <w:caps w:val="0"/>
          <w:color w:val="0F1115"/>
          <w:spacing w:val="0"/>
          <w:sz w:val="32"/>
          <w:szCs w:val="32"/>
          <w:highlight w:val="none"/>
          <w:u w:val="none"/>
          <w:shd w:val="clear" w:fill="FFFFFF"/>
          <w:lang w:eastAsia="zh-CN"/>
        </w:rPr>
        <w:t>，</w:t>
      </w:r>
      <w:r>
        <w:rPr>
          <w:rFonts w:hint="eastAsia" w:ascii="楷体" w:hAnsi="楷体" w:eastAsia="楷体" w:cs="楷体"/>
          <w:b w:val="0"/>
          <w:bCs w:val="0"/>
          <w:i w:val="0"/>
          <w:iCs w:val="0"/>
          <w:caps w:val="0"/>
          <w:color w:val="0F1115"/>
          <w:spacing w:val="0"/>
          <w:sz w:val="32"/>
          <w:szCs w:val="32"/>
          <w:highlight w:val="none"/>
          <w:u w:val="none"/>
          <w:shd w:val="clear" w:fill="FFFFFF"/>
          <w:lang w:val="en-US" w:eastAsia="zh-CN"/>
        </w:rPr>
        <w:t>综合改革闯出新天地</w:t>
      </w:r>
      <w:r>
        <w:rPr>
          <w:rStyle w:val="15"/>
          <w:rFonts w:hint="eastAsia" w:ascii="楷体" w:hAnsi="楷体" w:eastAsia="楷体" w:cs="楷体"/>
          <w:b w:val="0"/>
          <w:bCs w:val="0"/>
          <w:i w:val="0"/>
          <w:iCs w:val="0"/>
          <w:caps w:val="0"/>
          <w:color w:val="0F1115"/>
          <w:spacing w:val="0"/>
          <w:sz w:val="32"/>
          <w:szCs w:val="32"/>
          <w:highlight w:val="none"/>
          <w:u w:val="none"/>
          <w:shd w:val="clear" w:fill="FFFFFF"/>
          <w:lang w:val="en-US" w:eastAsia="zh-CN"/>
        </w:rPr>
        <w:t>。</w:t>
      </w:r>
      <w:r>
        <w:rPr>
          <w:rStyle w:val="15"/>
          <w:rFonts w:hint="eastAsia" w:ascii="仿宋" w:hAnsi="仿宋" w:eastAsia="仿宋" w:cs="仿宋"/>
          <w:b w:val="0"/>
          <w:bCs w:val="0"/>
          <w:i w:val="0"/>
          <w:iCs w:val="0"/>
          <w:caps w:val="0"/>
          <w:color w:val="0F1115"/>
          <w:spacing w:val="0"/>
          <w:sz w:val="32"/>
          <w:szCs w:val="32"/>
          <w:highlight w:val="none"/>
          <w:u w:val="none"/>
          <w:shd w:val="clear" w:fill="FFFFFF"/>
          <w:lang w:val="en-US" w:eastAsia="zh-CN"/>
        </w:rPr>
        <w:t>始终</w:t>
      </w:r>
      <w:r>
        <w:rPr>
          <w:rStyle w:val="15"/>
          <w:rFonts w:hint="eastAsia" w:ascii="仿宋" w:hAnsi="仿宋" w:eastAsia="仿宋" w:cs="仿宋"/>
          <w:b w:val="0"/>
          <w:bCs w:val="0"/>
          <w:i w:val="0"/>
          <w:iCs w:val="0"/>
          <w:caps w:val="0"/>
          <w:color w:val="0F1115"/>
          <w:spacing w:val="0"/>
          <w:sz w:val="32"/>
          <w:szCs w:val="32"/>
          <w:highlight w:val="none"/>
          <w:u w:val="none"/>
          <w:shd w:val="clear" w:fill="FFFFFF"/>
        </w:rPr>
        <w:t>坚持把深化改革作为“关键一招”，</w:t>
      </w:r>
      <w:r>
        <w:rPr>
          <w:rFonts w:hint="eastAsia" w:ascii="仿宋" w:hAnsi="仿宋" w:eastAsia="仿宋" w:cs="仿宋"/>
          <w:i w:val="0"/>
          <w:iCs w:val="0"/>
          <w:caps w:val="0"/>
          <w:color w:val="0F1115"/>
          <w:spacing w:val="0"/>
          <w:sz w:val="32"/>
          <w:szCs w:val="32"/>
          <w:highlight w:val="none"/>
          <w:u w:val="none"/>
          <w:shd w:val="clear" w:fill="FFFFFF"/>
        </w:rPr>
        <w:t>以刀刃向内的勇气，着力破解长期制约发展的堵点难点</w:t>
      </w:r>
      <w:r>
        <w:rPr>
          <w:rFonts w:hint="eastAsia" w:ascii="仿宋" w:hAnsi="仿宋" w:eastAsia="仿宋" w:cs="仿宋"/>
          <w:i w:val="0"/>
          <w:iCs w:val="0"/>
          <w:caps w:val="0"/>
          <w:color w:val="0F1115"/>
          <w:spacing w:val="0"/>
          <w:sz w:val="32"/>
          <w:szCs w:val="32"/>
          <w:highlight w:val="none"/>
          <w:u w:val="none"/>
          <w:shd w:val="clear" w:fill="FFFFFF"/>
          <w:lang w:eastAsia="zh-CN"/>
        </w:rPr>
        <w:t>。</w:t>
      </w:r>
      <w:r>
        <w:rPr>
          <w:rFonts w:hint="eastAsia" w:ascii="仿宋" w:hAnsi="仿宋" w:eastAsia="仿宋" w:cs="仿宋"/>
          <w:b/>
          <w:bCs/>
          <w:i w:val="0"/>
          <w:iCs w:val="0"/>
          <w:caps w:val="0"/>
          <w:color w:val="0F1115"/>
          <w:spacing w:val="0"/>
          <w:sz w:val="32"/>
          <w:szCs w:val="32"/>
          <w:highlight w:val="none"/>
          <w:u w:val="none"/>
          <w:shd w:val="clear" w:fill="FFFFFF"/>
          <w:lang w:eastAsia="zh-CN"/>
        </w:rPr>
        <w:t>一是培育新增长点，发展格局焕然一新。</w:t>
      </w:r>
      <w:r>
        <w:rPr>
          <w:rFonts w:hint="eastAsia" w:ascii="仿宋" w:hAnsi="仿宋" w:eastAsia="仿宋" w:cs="仿宋"/>
          <w:i w:val="0"/>
          <w:iCs w:val="0"/>
          <w:caps w:val="0"/>
          <w:color w:val="0F1115"/>
          <w:spacing w:val="0"/>
          <w:sz w:val="32"/>
          <w:szCs w:val="32"/>
          <w:highlight w:val="none"/>
          <w:u w:val="none"/>
          <w:shd w:val="clear" w:fill="FFFFFF"/>
          <w:lang w:eastAsia="zh-CN"/>
        </w:rPr>
        <w:t>以省委办公厅</w:t>
      </w:r>
      <w:r>
        <w:rPr>
          <w:rFonts w:hint="eastAsia" w:ascii="仿宋" w:hAnsi="仿宋" w:eastAsia="仿宋" w:cs="仿宋"/>
          <w:i w:val="0"/>
          <w:iCs w:val="0"/>
          <w:caps w:val="0"/>
          <w:color w:val="0F1115"/>
          <w:spacing w:val="0"/>
          <w:sz w:val="32"/>
          <w:szCs w:val="32"/>
          <w:highlight w:val="none"/>
          <w:u w:val="none"/>
          <w:shd w:val="clear" w:fill="FFFFFF"/>
          <w:lang w:val="en-US" w:eastAsia="zh-CN"/>
        </w:rPr>
        <w:t xml:space="preserve"> 省政府办公厅</w:t>
      </w:r>
      <w:r>
        <w:rPr>
          <w:rFonts w:hint="eastAsia" w:ascii="仿宋" w:hAnsi="仿宋" w:eastAsia="仿宋" w:cs="仿宋"/>
          <w:i w:val="0"/>
          <w:iCs w:val="0"/>
          <w:caps w:val="0"/>
          <w:color w:val="0F1115"/>
          <w:spacing w:val="0"/>
          <w:sz w:val="32"/>
          <w:szCs w:val="32"/>
          <w:highlight w:val="none"/>
          <w:u w:val="none"/>
          <w:shd w:val="clear" w:fill="FFFFFF"/>
          <w:lang w:eastAsia="zh-CN"/>
        </w:rPr>
        <w:t>《关于印发&lt;</w:t>
      </w:r>
      <w:r>
        <w:rPr>
          <w:rFonts w:hint="eastAsia" w:ascii="仿宋" w:hAnsi="仿宋" w:eastAsia="仿宋"/>
          <w:sz w:val="32"/>
          <w:szCs w:val="32"/>
          <w:highlight w:val="none"/>
          <w:u w:val="none"/>
          <w:lang w:eastAsia="zh-CN"/>
        </w:rPr>
        <w:t>持续深化全省供销合作社综合改革实施方案</w:t>
      </w:r>
      <w:r>
        <w:rPr>
          <w:rFonts w:hint="eastAsia" w:ascii="仿宋" w:hAnsi="仿宋" w:eastAsia="仿宋" w:cs="仿宋"/>
          <w:sz w:val="32"/>
          <w:szCs w:val="32"/>
          <w:highlight w:val="none"/>
          <w:u w:val="none"/>
          <w:lang w:eastAsia="zh-CN"/>
        </w:rPr>
        <w:t>&gt;</w:t>
      </w:r>
      <w:r>
        <w:rPr>
          <w:rFonts w:hint="eastAsia" w:ascii="仿宋" w:hAnsi="仿宋" w:eastAsia="仿宋"/>
          <w:sz w:val="32"/>
          <w:szCs w:val="32"/>
          <w:highlight w:val="none"/>
          <w:u w:val="none"/>
          <w:lang w:eastAsia="zh-CN"/>
        </w:rPr>
        <w:t>的通知》）</w:t>
      </w:r>
      <w:r>
        <w:rPr>
          <w:rFonts w:hint="eastAsia" w:ascii="仿宋" w:hAnsi="仿宋" w:eastAsia="仿宋" w:cs="仿宋"/>
          <w:b w:val="0"/>
          <w:bCs w:val="0"/>
          <w:sz w:val="32"/>
          <w:szCs w:val="32"/>
          <w:highlight w:val="none"/>
          <w:u w:val="none"/>
          <w:lang w:val="en-US" w:eastAsia="zh-CN"/>
        </w:rPr>
        <w:t>鄂办发〔2023〕7号）</w:t>
      </w:r>
      <w:r>
        <w:rPr>
          <w:rFonts w:hint="eastAsia" w:ascii="仿宋" w:hAnsi="仿宋" w:eastAsia="仿宋"/>
          <w:sz w:val="32"/>
          <w:szCs w:val="32"/>
          <w:highlight w:val="none"/>
          <w:u w:val="none"/>
          <w:lang w:eastAsia="zh-CN"/>
        </w:rPr>
        <w:t>和</w:t>
      </w:r>
      <w:r>
        <w:rPr>
          <w:rFonts w:hint="eastAsia" w:ascii="仿宋" w:hAnsi="仿宋" w:eastAsia="仿宋" w:cs="仿宋"/>
          <w:b w:val="0"/>
          <w:bCs w:val="0"/>
          <w:sz w:val="32"/>
          <w:szCs w:val="32"/>
          <w:highlight w:val="none"/>
          <w:u w:val="none"/>
          <w:lang w:val="en-US" w:eastAsia="zh-CN"/>
        </w:rPr>
        <w:t>《关于持续深化供销合作社综合改革 推进供销合作事业高质量发展的实施意见》（鄂州政办发〔2022〕31号）</w:t>
      </w:r>
      <w:r>
        <w:rPr>
          <w:rFonts w:hint="eastAsia" w:ascii="仿宋" w:hAnsi="仿宋" w:eastAsia="仿宋"/>
          <w:sz w:val="32"/>
          <w:szCs w:val="32"/>
          <w:highlight w:val="none"/>
          <w:u w:val="none"/>
        </w:rPr>
        <w:t>为指引</w:t>
      </w:r>
      <w:r>
        <w:rPr>
          <w:rFonts w:hint="eastAsia" w:ascii="仿宋" w:hAnsi="仿宋" w:eastAsia="仿宋"/>
          <w:sz w:val="32"/>
          <w:szCs w:val="32"/>
          <w:highlight w:val="none"/>
          <w:u w:val="none"/>
          <w:lang w:eastAsia="zh-CN"/>
        </w:rPr>
        <w:t>，</w:t>
      </w:r>
      <w:r>
        <w:rPr>
          <w:rFonts w:hint="eastAsia" w:ascii="仿宋" w:hAnsi="仿宋" w:eastAsia="仿宋" w:cs="仿宋"/>
          <w:sz w:val="32"/>
          <w:szCs w:val="32"/>
          <w:highlight w:val="none"/>
          <w:u w:val="none"/>
        </w:rPr>
        <w:t>按照政事分开</w:t>
      </w:r>
      <w:r>
        <w:rPr>
          <w:rFonts w:hint="eastAsia" w:ascii="仿宋" w:hAnsi="仿宋" w:eastAsia="仿宋" w:cs="仿宋"/>
          <w:sz w:val="32"/>
          <w:szCs w:val="32"/>
          <w:highlight w:val="none"/>
          <w:u w:val="none"/>
          <w:lang w:eastAsia="zh-CN"/>
        </w:rPr>
        <w:t>、社</w:t>
      </w:r>
      <w:r>
        <w:rPr>
          <w:rFonts w:hint="eastAsia" w:ascii="仿宋" w:hAnsi="仿宋" w:eastAsia="仿宋" w:cs="仿宋"/>
          <w:sz w:val="32"/>
          <w:szCs w:val="32"/>
          <w:highlight w:val="none"/>
          <w:u w:val="none"/>
        </w:rPr>
        <w:t>企分开的原则</w:t>
      </w:r>
      <w:r>
        <w:rPr>
          <w:rFonts w:hint="eastAsia" w:ascii="仿宋" w:hAnsi="仿宋" w:eastAsia="仿宋" w:cs="仿宋"/>
          <w:sz w:val="32"/>
          <w:szCs w:val="32"/>
          <w:highlight w:val="none"/>
          <w:u w:val="none"/>
          <w:lang w:eastAsia="zh-CN"/>
        </w:rPr>
        <w:t>，</w:t>
      </w:r>
      <w:r>
        <w:rPr>
          <w:rFonts w:hint="eastAsia" w:ascii="仿宋" w:hAnsi="仿宋" w:eastAsia="仿宋" w:cs="仿宋"/>
          <w:i w:val="0"/>
          <w:iCs w:val="0"/>
          <w:caps w:val="0"/>
          <w:color w:val="0F1115"/>
          <w:spacing w:val="0"/>
          <w:sz w:val="32"/>
          <w:szCs w:val="32"/>
          <w:highlight w:val="none"/>
          <w:u w:val="none"/>
          <w:shd w:val="clear" w:fill="FFFFFF"/>
          <w:lang w:eastAsia="zh-CN"/>
        </w:rPr>
        <w:t>完成了鄂州供销集团组建。鄂城区供销社开办首家供销跨境生鲜超市，</w:t>
      </w:r>
      <w:r>
        <w:rPr>
          <w:rFonts w:hint="eastAsia" w:ascii="仿宋" w:hAnsi="仿宋" w:eastAsia="仿宋"/>
          <w:sz w:val="32"/>
          <w:szCs w:val="32"/>
          <w:highlight w:val="none"/>
          <w:u w:val="none"/>
          <w:lang w:eastAsia="zh-CN"/>
        </w:rPr>
        <w:t>为市民餐桌提供了更多选择</w:t>
      </w:r>
      <w:r>
        <w:rPr>
          <w:rFonts w:hint="eastAsia" w:ascii="仿宋" w:hAnsi="仿宋" w:eastAsia="仿宋" w:cs="仿宋"/>
          <w:i w:val="0"/>
          <w:iCs w:val="0"/>
          <w:caps w:val="0"/>
          <w:color w:val="0F1115"/>
          <w:spacing w:val="0"/>
          <w:sz w:val="32"/>
          <w:szCs w:val="32"/>
          <w:highlight w:val="none"/>
          <w:u w:val="none"/>
          <w:shd w:val="clear" w:fill="FFFFFF"/>
          <w:lang w:eastAsia="zh-CN"/>
        </w:rPr>
        <w:t>。依托市茶叶协会推动茶旅融合，举办茶艺技能大赛和“梁湖黄”品茶会，探索“茶叶+旅游”发展新路。</w:t>
      </w:r>
      <w:r>
        <w:rPr>
          <w:rStyle w:val="15"/>
          <w:rFonts w:hint="eastAsia" w:ascii="仿宋" w:hAnsi="仿宋" w:eastAsia="仿宋" w:cs="仿宋"/>
          <w:b/>
          <w:bCs/>
          <w:i w:val="0"/>
          <w:iCs w:val="0"/>
          <w:caps w:val="0"/>
          <w:color w:val="0F1115"/>
          <w:spacing w:val="0"/>
          <w:sz w:val="32"/>
          <w:szCs w:val="32"/>
          <w:highlight w:val="none"/>
          <w:u w:val="none"/>
          <w:shd w:val="clear" w:fill="FFFFFF"/>
        </w:rPr>
        <w:t>二是攻坚历史难题，发展步伐更趋稳健。</w:t>
      </w:r>
      <w:r>
        <w:rPr>
          <w:rStyle w:val="15"/>
          <w:rFonts w:hint="eastAsia" w:ascii="仿宋" w:hAnsi="仿宋" w:eastAsia="仿宋" w:cs="仿宋"/>
          <w:b w:val="0"/>
          <w:bCs w:val="0"/>
          <w:i w:val="0"/>
          <w:iCs w:val="0"/>
          <w:caps w:val="0"/>
          <w:color w:val="0F1115"/>
          <w:spacing w:val="0"/>
          <w:sz w:val="32"/>
          <w:szCs w:val="32"/>
          <w:highlight w:val="none"/>
          <w:u w:val="none"/>
          <w:shd w:val="clear" w:fill="FFFFFF"/>
        </w:rPr>
        <w:t>我们以“不把历史问题再留给历史”的决心，集中力量攻克了一批长期想解决而未能解决的“硬骨头”</w:t>
      </w:r>
      <w:r>
        <w:rPr>
          <w:rStyle w:val="15"/>
          <w:rFonts w:hint="eastAsia" w:ascii="仿宋" w:hAnsi="仿宋" w:eastAsia="仿宋" w:cs="仿宋"/>
          <w:b w:val="0"/>
          <w:bCs w:val="0"/>
          <w:i w:val="0"/>
          <w:iCs w:val="0"/>
          <w:caps w:val="0"/>
          <w:color w:val="0F1115"/>
          <w:spacing w:val="0"/>
          <w:sz w:val="32"/>
          <w:szCs w:val="32"/>
          <w:highlight w:val="none"/>
          <w:u w:val="none"/>
          <w:shd w:val="clear" w:fill="FFFFFF"/>
          <w:lang w:eastAsia="zh-CN"/>
        </w:rPr>
        <w:t>，</w:t>
      </w:r>
      <w:r>
        <w:rPr>
          <w:rStyle w:val="15"/>
          <w:rFonts w:hint="eastAsia" w:ascii="仿宋" w:hAnsi="仿宋" w:eastAsia="仿宋" w:cs="仿宋"/>
          <w:b w:val="0"/>
          <w:bCs w:val="0"/>
          <w:i w:val="0"/>
          <w:iCs w:val="0"/>
          <w:caps w:val="0"/>
          <w:color w:val="0F1115"/>
          <w:spacing w:val="0"/>
          <w:sz w:val="32"/>
          <w:szCs w:val="32"/>
          <w:highlight w:val="none"/>
          <w:u w:val="none"/>
          <w:shd w:val="clear" w:fill="FFFFFF"/>
        </w:rPr>
        <w:t>办成了</w:t>
      </w:r>
      <w:r>
        <w:rPr>
          <w:rStyle w:val="15"/>
          <w:rFonts w:hint="eastAsia" w:ascii="仿宋" w:hAnsi="仿宋" w:eastAsia="仿宋" w:cs="仿宋"/>
          <w:b w:val="0"/>
          <w:bCs w:val="0"/>
          <w:i w:val="0"/>
          <w:iCs w:val="0"/>
          <w:caps w:val="0"/>
          <w:color w:val="0F1115"/>
          <w:spacing w:val="0"/>
          <w:sz w:val="32"/>
          <w:szCs w:val="32"/>
          <w:highlight w:val="none"/>
          <w:u w:val="none"/>
          <w:shd w:val="clear" w:fill="FFFFFF"/>
          <w:lang w:eastAsia="zh-CN"/>
        </w:rPr>
        <w:t>一批</w:t>
      </w:r>
      <w:r>
        <w:rPr>
          <w:rStyle w:val="15"/>
          <w:rFonts w:hint="eastAsia" w:ascii="仿宋" w:hAnsi="仿宋" w:eastAsia="仿宋" w:cs="仿宋"/>
          <w:b w:val="0"/>
          <w:bCs w:val="0"/>
          <w:i w:val="0"/>
          <w:iCs w:val="0"/>
          <w:caps w:val="0"/>
          <w:color w:val="0F1115"/>
          <w:spacing w:val="0"/>
          <w:sz w:val="32"/>
          <w:szCs w:val="32"/>
          <w:highlight w:val="none"/>
          <w:u w:val="none"/>
          <w:shd w:val="clear" w:fill="FFFFFF"/>
        </w:rPr>
        <w:t>过去想办而没有办成的大</w:t>
      </w:r>
      <w:r>
        <w:rPr>
          <w:rStyle w:val="15"/>
          <w:rFonts w:hint="eastAsia" w:ascii="仿宋" w:hAnsi="仿宋" w:eastAsia="仿宋" w:cs="仿宋"/>
          <w:b w:val="0"/>
          <w:bCs w:val="0"/>
          <w:i w:val="0"/>
          <w:iCs w:val="0"/>
          <w:caps w:val="0"/>
          <w:color w:val="0F1115"/>
          <w:spacing w:val="0"/>
          <w:sz w:val="32"/>
          <w:szCs w:val="32"/>
          <w:highlight w:val="none"/>
          <w:u w:val="none"/>
          <w:shd w:val="clear" w:fill="FFFFFF"/>
          <w:lang w:eastAsia="zh-CN"/>
        </w:rPr>
        <w:t>事</w:t>
      </w:r>
      <w:r>
        <w:rPr>
          <w:rStyle w:val="15"/>
          <w:rFonts w:hint="eastAsia" w:ascii="仿宋" w:hAnsi="仿宋" w:eastAsia="仿宋" w:cs="仿宋"/>
          <w:b w:val="0"/>
          <w:bCs w:val="0"/>
          <w:i w:val="0"/>
          <w:iCs w:val="0"/>
          <w:caps w:val="0"/>
          <w:color w:val="0F1115"/>
          <w:spacing w:val="0"/>
          <w:sz w:val="32"/>
          <w:szCs w:val="32"/>
          <w:highlight w:val="none"/>
          <w:u w:val="none"/>
          <w:shd w:val="clear" w:fill="FFFFFF"/>
        </w:rPr>
        <w:t>。彻底解决了经贸学校长达十八年的不动产确权办证难题，</w:t>
      </w:r>
      <w:r>
        <w:rPr>
          <w:rFonts w:hint="eastAsia" w:ascii="仿宋" w:hAnsi="仿宋" w:eastAsia="仿宋"/>
          <w:sz w:val="32"/>
          <w:szCs w:val="32"/>
          <w:highlight w:val="none"/>
          <w:u w:val="none"/>
          <w:lang w:eastAsia="zh-CN"/>
        </w:rPr>
        <w:t>历史</w:t>
      </w:r>
      <w:r>
        <w:rPr>
          <w:rStyle w:val="15"/>
          <w:rFonts w:hint="eastAsia" w:ascii="仿宋" w:hAnsi="仿宋" w:eastAsia="仿宋" w:cs="仿宋"/>
          <w:b w:val="0"/>
          <w:bCs w:val="0"/>
          <w:i w:val="0"/>
          <w:iCs w:val="0"/>
          <w:caps w:val="0"/>
          <w:color w:val="0F1115"/>
          <w:spacing w:val="0"/>
          <w:sz w:val="32"/>
          <w:szCs w:val="32"/>
          <w:highlight w:val="none"/>
          <w:u w:val="none"/>
          <w:shd w:val="clear" w:fill="FFFFFF"/>
        </w:rPr>
        <w:t>性地完成了存在重大安全隐患的棉花</w:t>
      </w:r>
      <w:r>
        <w:rPr>
          <w:rStyle w:val="15"/>
          <w:rFonts w:hint="eastAsia" w:ascii="仿宋" w:hAnsi="仿宋" w:eastAsia="仿宋" w:cs="仿宋"/>
          <w:b w:val="0"/>
          <w:bCs w:val="0"/>
          <w:i w:val="0"/>
          <w:iCs w:val="0"/>
          <w:caps w:val="0"/>
          <w:color w:val="0F1115"/>
          <w:spacing w:val="0"/>
          <w:sz w:val="32"/>
          <w:szCs w:val="32"/>
          <w:highlight w:val="none"/>
          <w:u w:val="none"/>
          <w:shd w:val="clear" w:fill="FFFFFF"/>
          <w:lang w:val="en-US" w:eastAsia="zh-CN"/>
        </w:rPr>
        <w:t>小区</w:t>
      </w:r>
      <w:r>
        <w:rPr>
          <w:rStyle w:val="15"/>
          <w:rFonts w:hint="eastAsia" w:ascii="仿宋" w:hAnsi="仿宋" w:eastAsia="仿宋" w:cs="仿宋"/>
          <w:b w:val="0"/>
          <w:bCs w:val="0"/>
          <w:i w:val="0"/>
          <w:iCs w:val="0"/>
          <w:caps w:val="0"/>
          <w:color w:val="0F1115"/>
          <w:spacing w:val="0"/>
          <w:sz w:val="32"/>
          <w:szCs w:val="32"/>
          <w:highlight w:val="none"/>
          <w:u w:val="none"/>
          <w:shd w:val="clear" w:fill="FFFFFF"/>
        </w:rPr>
        <w:t>危房拆除工作。</w:t>
      </w:r>
      <w:r>
        <w:rPr>
          <w:rStyle w:val="15"/>
          <w:rFonts w:hint="eastAsia" w:ascii="仿宋" w:hAnsi="仿宋" w:eastAsia="仿宋" w:cs="仿宋"/>
          <w:b/>
          <w:bCs/>
          <w:i w:val="0"/>
          <w:iCs w:val="0"/>
          <w:caps w:val="0"/>
          <w:color w:val="0F1115"/>
          <w:spacing w:val="0"/>
          <w:sz w:val="32"/>
          <w:szCs w:val="32"/>
          <w:highlight w:val="none"/>
          <w:u w:val="none"/>
          <w:shd w:val="clear" w:fill="FFFFFF"/>
        </w:rPr>
        <w:t>三是全力推动项目建设，积蓄长远发展动能。</w:t>
      </w:r>
      <w:r>
        <w:rPr>
          <w:rStyle w:val="15"/>
          <w:rFonts w:hint="eastAsia" w:ascii="仿宋" w:hAnsi="仿宋" w:eastAsia="仿宋" w:cs="仿宋"/>
          <w:b w:val="0"/>
          <w:bCs w:val="0"/>
          <w:i w:val="0"/>
          <w:iCs w:val="0"/>
          <w:caps w:val="0"/>
          <w:color w:val="0F1115"/>
          <w:spacing w:val="0"/>
          <w:kern w:val="2"/>
          <w:sz w:val="32"/>
          <w:szCs w:val="32"/>
          <w:highlight w:val="none"/>
          <w:u w:val="none"/>
          <w:shd w:val="clear" w:fill="FFFFFF"/>
          <w:lang w:val="en-US" w:eastAsia="zh-CN" w:bidi="ar-SA"/>
        </w:rPr>
        <w:t>重启停滞十余年的中国供销鄂州产业园项目并实现开工，项目建成后将填补鄂州供销战略物资储备空白，为非常时期城市保供提供坚强保障；大力推进“三新”体系建设，修订完善“新农超、新供销、新体系”项目建设方案及网点专项规划，东沟三农服务中心即将建成发挥作用。开展美好环境与幸福生活共同缔造项目建设工作，全市20个行政村通过省社验收，共获得省级奖补资金74万元，市社按20%的比例配套拿出14.8万元资金进行追加奖补。</w:t>
      </w:r>
      <w:r>
        <w:rPr>
          <w:rStyle w:val="15"/>
          <w:rFonts w:hint="eastAsia" w:ascii="仿宋" w:hAnsi="仿宋" w:eastAsia="仿宋" w:cs="仿宋"/>
          <w:b/>
          <w:bCs/>
          <w:i w:val="0"/>
          <w:iCs w:val="0"/>
          <w:caps w:val="0"/>
          <w:color w:val="0F1115"/>
          <w:spacing w:val="0"/>
          <w:sz w:val="32"/>
          <w:szCs w:val="32"/>
          <w:highlight w:val="none"/>
          <w:u w:val="none"/>
          <w:shd w:val="clear" w:fill="FFFFFF"/>
        </w:rPr>
        <w:t>四是</w:t>
      </w:r>
      <w:r>
        <w:rPr>
          <w:rStyle w:val="15"/>
          <w:rFonts w:hint="eastAsia" w:ascii="仿宋" w:hAnsi="仿宋" w:eastAsia="仿宋" w:cs="仿宋"/>
          <w:b/>
          <w:bCs/>
          <w:i w:val="0"/>
          <w:iCs w:val="0"/>
          <w:caps w:val="0"/>
          <w:color w:val="0F1115"/>
          <w:spacing w:val="0"/>
          <w:sz w:val="32"/>
          <w:szCs w:val="32"/>
          <w:highlight w:val="none"/>
          <w:u w:val="none"/>
          <w:shd w:val="clear" w:fill="FFFFFF"/>
          <w:lang w:eastAsia="zh-CN"/>
        </w:rPr>
        <w:t>强化“三资”管理</w:t>
      </w:r>
      <w:r>
        <w:rPr>
          <w:rStyle w:val="15"/>
          <w:rFonts w:hint="eastAsia" w:ascii="仿宋" w:hAnsi="仿宋" w:eastAsia="仿宋" w:cs="仿宋"/>
          <w:b/>
          <w:bCs/>
          <w:i w:val="0"/>
          <w:iCs w:val="0"/>
          <w:caps w:val="0"/>
          <w:color w:val="0F1115"/>
          <w:spacing w:val="0"/>
          <w:sz w:val="32"/>
          <w:szCs w:val="32"/>
          <w:highlight w:val="none"/>
          <w:u w:val="none"/>
          <w:shd w:val="clear" w:fill="FFFFFF"/>
        </w:rPr>
        <w:t>，发展根基</w:t>
      </w:r>
      <w:r>
        <w:rPr>
          <w:rStyle w:val="15"/>
          <w:rFonts w:hint="eastAsia" w:ascii="仿宋" w:hAnsi="仿宋" w:eastAsia="仿宋" w:cs="仿宋"/>
          <w:b/>
          <w:bCs/>
          <w:i w:val="0"/>
          <w:iCs w:val="0"/>
          <w:caps w:val="0"/>
          <w:color w:val="0F1115"/>
          <w:spacing w:val="0"/>
          <w:sz w:val="32"/>
          <w:szCs w:val="32"/>
          <w:highlight w:val="none"/>
          <w:u w:val="none"/>
          <w:shd w:val="clear" w:fill="FFFFFF"/>
          <w:lang w:val="en-US" w:eastAsia="zh-CN"/>
        </w:rPr>
        <w:t>更加稳固</w:t>
      </w:r>
      <w:r>
        <w:rPr>
          <w:rStyle w:val="15"/>
          <w:rFonts w:hint="eastAsia" w:ascii="仿宋" w:hAnsi="仿宋" w:eastAsia="仿宋" w:cs="仿宋"/>
          <w:b/>
          <w:bCs/>
          <w:i w:val="0"/>
          <w:iCs w:val="0"/>
          <w:caps w:val="0"/>
          <w:color w:val="0F1115"/>
          <w:spacing w:val="0"/>
          <w:sz w:val="32"/>
          <w:szCs w:val="32"/>
          <w:highlight w:val="none"/>
          <w:u w:val="none"/>
          <w:shd w:val="clear" w:fill="FFFFFF"/>
        </w:rPr>
        <w:t>。</w:t>
      </w:r>
      <w:r>
        <w:rPr>
          <w:rStyle w:val="15"/>
          <w:rFonts w:hint="eastAsia" w:ascii="仿宋" w:hAnsi="仿宋" w:eastAsia="仿宋" w:cs="仿宋"/>
          <w:b w:val="0"/>
          <w:bCs w:val="0"/>
          <w:i w:val="0"/>
          <w:iCs w:val="0"/>
          <w:caps w:val="0"/>
          <w:color w:val="0F1115"/>
          <w:spacing w:val="0"/>
          <w:sz w:val="32"/>
          <w:szCs w:val="32"/>
          <w:highlight w:val="none"/>
          <w:u w:val="none"/>
          <w:shd w:val="clear" w:fill="FFFFFF"/>
        </w:rPr>
        <w:t>深入开展全系统“清产核资、建档立卡”</w:t>
      </w:r>
      <w:r>
        <w:rPr>
          <w:rStyle w:val="15"/>
          <w:rFonts w:hint="eastAsia" w:ascii="仿宋" w:hAnsi="仿宋" w:eastAsia="仿宋" w:cs="仿宋"/>
          <w:b w:val="0"/>
          <w:bCs w:val="0"/>
          <w:i w:val="0"/>
          <w:iCs w:val="0"/>
          <w:caps w:val="0"/>
          <w:color w:val="0F1115"/>
          <w:spacing w:val="0"/>
          <w:sz w:val="32"/>
          <w:szCs w:val="32"/>
          <w:highlight w:val="none"/>
          <w:u w:val="none"/>
          <w:shd w:val="clear" w:fill="FFFFFF"/>
          <w:lang w:eastAsia="zh-CN"/>
        </w:rPr>
        <w:t>和资产评估工作</w:t>
      </w:r>
      <w:r>
        <w:rPr>
          <w:rStyle w:val="15"/>
          <w:rFonts w:hint="eastAsia" w:ascii="仿宋" w:hAnsi="仿宋" w:eastAsia="仿宋" w:cs="仿宋"/>
          <w:b w:val="0"/>
          <w:bCs w:val="0"/>
          <w:i w:val="0"/>
          <w:iCs w:val="0"/>
          <w:caps w:val="0"/>
          <w:color w:val="0F1115"/>
          <w:spacing w:val="0"/>
          <w:sz w:val="32"/>
          <w:szCs w:val="32"/>
          <w:highlight w:val="none"/>
          <w:u w:val="none"/>
          <w:shd w:val="clear" w:fill="FFFFFF"/>
        </w:rPr>
        <w:t>，彻底摸清58处资产底数</w:t>
      </w:r>
      <w:r>
        <w:rPr>
          <w:rStyle w:val="15"/>
          <w:rFonts w:hint="eastAsia" w:ascii="仿宋" w:hAnsi="仿宋" w:eastAsia="仿宋" w:cs="仿宋"/>
          <w:b w:val="0"/>
          <w:bCs w:val="0"/>
          <w:i w:val="0"/>
          <w:iCs w:val="0"/>
          <w:caps w:val="0"/>
          <w:color w:val="0F1115"/>
          <w:spacing w:val="0"/>
          <w:sz w:val="32"/>
          <w:szCs w:val="32"/>
          <w:highlight w:val="none"/>
          <w:u w:val="none"/>
          <w:shd w:val="clear" w:fill="FFFFFF"/>
          <w:lang w:eastAsia="zh-CN"/>
        </w:rPr>
        <w:t>。创新</w:t>
      </w:r>
      <w:r>
        <w:rPr>
          <w:rFonts w:hint="eastAsia" w:ascii="仿宋" w:hAnsi="仿宋" w:eastAsia="仿宋" w:cs="仿宋"/>
          <w:i w:val="0"/>
          <w:iCs w:val="0"/>
          <w:caps w:val="0"/>
          <w:color w:val="0F1115"/>
          <w:spacing w:val="0"/>
          <w:kern w:val="0"/>
          <w:sz w:val="32"/>
          <w:szCs w:val="32"/>
          <w:highlight w:val="none"/>
          <w:u w:val="none"/>
          <w:shd w:val="clear" w:fill="FFFFFF"/>
          <w:lang w:val="en-US" w:eastAsia="zh-CN" w:bidi="ar"/>
        </w:rPr>
        <w:t>推动“分散变集中、资源变资产、资产变资本”</w:t>
      </w:r>
      <w:r>
        <w:rPr>
          <w:rStyle w:val="15"/>
          <w:rFonts w:hint="eastAsia" w:ascii="仿宋" w:hAnsi="仿宋" w:eastAsia="仿宋" w:cs="仿宋"/>
          <w:b/>
          <w:bCs/>
          <w:i w:val="0"/>
          <w:iCs w:val="0"/>
          <w:caps w:val="0"/>
          <w:color w:val="0F1115"/>
          <w:spacing w:val="0"/>
          <w:sz w:val="32"/>
          <w:szCs w:val="32"/>
          <w:highlight w:val="none"/>
          <w:u w:val="none"/>
          <w:shd w:val="clear" w:fill="FFFFFF"/>
          <w:lang w:eastAsia="zh-CN"/>
        </w:rPr>
        <w:t>，</w:t>
      </w:r>
      <w:r>
        <w:rPr>
          <w:rStyle w:val="15"/>
          <w:rFonts w:hint="eastAsia" w:ascii="仿宋" w:hAnsi="仿宋" w:eastAsia="仿宋" w:cs="仿宋"/>
          <w:b w:val="0"/>
          <w:bCs w:val="0"/>
          <w:i w:val="0"/>
          <w:iCs w:val="0"/>
          <w:caps w:val="0"/>
          <w:color w:val="0F1115"/>
          <w:spacing w:val="0"/>
          <w:sz w:val="32"/>
          <w:szCs w:val="32"/>
          <w:highlight w:val="none"/>
          <w:u w:val="none"/>
          <w:shd w:val="clear" w:fill="FFFFFF"/>
          <w:lang w:eastAsia="zh-CN"/>
        </w:rPr>
        <w:t>鄂城区供销社打包置换临空经济区老旧分散资产，梁子湖区供销社</w:t>
      </w:r>
      <w:r>
        <w:rPr>
          <w:rStyle w:val="15"/>
          <w:rFonts w:hint="eastAsia" w:ascii="仿宋" w:hAnsi="仿宋" w:eastAsia="仿宋" w:cs="仿宋"/>
          <w:b w:val="0"/>
          <w:bCs w:val="0"/>
          <w:i w:val="0"/>
          <w:iCs w:val="0"/>
          <w:caps w:val="0"/>
          <w:color w:val="0F1115"/>
          <w:spacing w:val="0"/>
          <w:sz w:val="32"/>
          <w:szCs w:val="32"/>
          <w:highlight w:val="none"/>
          <w:u w:val="none"/>
          <w:shd w:val="clear" w:fill="FFFFFF"/>
        </w:rPr>
        <w:t>成功盘活梁子岛商场</w:t>
      </w:r>
      <w:r>
        <w:rPr>
          <w:rStyle w:val="15"/>
          <w:rFonts w:hint="eastAsia" w:ascii="仿宋" w:hAnsi="仿宋" w:eastAsia="仿宋" w:cs="仿宋"/>
          <w:b w:val="0"/>
          <w:bCs w:val="0"/>
          <w:i w:val="0"/>
          <w:iCs w:val="0"/>
          <w:caps w:val="0"/>
          <w:color w:val="0F1115"/>
          <w:spacing w:val="0"/>
          <w:sz w:val="32"/>
          <w:szCs w:val="32"/>
          <w:highlight w:val="none"/>
          <w:u w:val="none"/>
          <w:shd w:val="clear" w:fill="FFFFFF"/>
          <w:lang w:val="en-US" w:eastAsia="zh-CN"/>
        </w:rPr>
        <w:t>,鄂州供销集团</w:t>
      </w:r>
      <w:r>
        <w:rPr>
          <w:rStyle w:val="15"/>
          <w:rFonts w:hint="eastAsia" w:ascii="仿宋" w:hAnsi="仿宋" w:eastAsia="仿宋" w:cs="仿宋"/>
          <w:b w:val="0"/>
          <w:bCs w:val="0"/>
          <w:i w:val="0"/>
          <w:iCs w:val="0"/>
          <w:caps w:val="0"/>
          <w:color w:val="0F1115"/>
          <w:spacing w:val="0"/>
          <w:sz w:val="32"/>
          <w:szCs w:val="32"/>
          <w:highlight w:val="none"/>
          <w:u w:val="none"/>
          <w:shd w:val="clear" w:fill="FFFFFF"/>
        </w:rPr>
        <w:t>引进</w:t>
      </w:r>
      <w:r>
        <w:rPr>
          <w:rStyle w:val="15"/>
          <w:rFonts w:hint="eastAsia" w:ascii="仿宋" w:hAnsi="仿宋" w:eastAsia="仿宋" w:cs="仿宋"/>
          <w:b w:val="0"/>
          <w:bCs w:val="0"/>
          <w:i w:val="0"/>
          <w:iCs w:val="0"/>
          <w:caps w:val="0"/>
          <w:color w:val="0F1115"/>
          <w:spacing w:val="0"/>
          <w:sz w:val="32"/>
          <w:szCs w:val="32"/>
          <w:highlight w:val="none"/>
          <w:u w:val="none"/>
          <w:shd w:val="clear" w:fill="FFFFFF"/>
          <w:lang w:eastAsia="zh-CN"/>
        </w:rPr>
        <w:t>湖北油米匠生态农业科技有限公司</w:t>
      </w:r>
      <w:r>
        <w:rPr>
          <w:rStyle w:val="15"/>
          <w:rFonts w:hint="eastAsia" w:ascii="仿宋" w:hAnsi="仿宋" w:eastAsia="仿宋" w:cs="仿宋"/>
          <w:b w:val="0"/>
          <w:bCs w:val="0"/>
          <w:i w:val="0"/>
          <w:iCs w:val="0"/>
          <w:caps w:val="0"/>
          <w:color w:val="0F1115"/>
          <w:spacing w:val="0"/>
          <w:sz w:val="32"/>
          <w:szCs w:val="32"/>
          <w:highlight w:val="none"/>
          <w:u w:val="none"/>
          <w:shd w:val="clear" w:fill="FFFFFF"/>
        </w:rPr>
        <w:t>合作开发</w:t>
      </w:r>
      <w:r>
        <w:rPr>
          <w:rStyle w:val="15"/>
          <w:rFonts w:hint="eastAsia" w:ascii="仿宋" w:hAnsi="仿宋" w:eastAsia="仿宋" w:cs="仿宋"/>
          <w:b w:val="0"/>
          <w:bCs w:val="0"/>
          <w:i w:val="0"/>
          <w:iCs w:val="0"/>
          <w:caps w:val="0"/>
          <w:color w:val="0F1115"/>
          <w:spacing w:val="0"/>
          <w:sz w:val="32"/>
          <w:szCs w:val="32"/>
          <w:highlight w:val="none"/>
          <w:u w:val="none"/>
          <w:shd w:val="clear" w:fill="FFFFFF"/>
          <w:lang w:eastAsia="zh-CN"/>
        </w:rPr>
        <w:t>鄂州供销长港农产品加工产业园，</w:t>
      </w:r>
      <w:r>
        <w:rPr>
          <w:rStyle w:val="15"/>
          <w:rFonts w:hint="eastAsia" w:ascii="仿宋" w:hAnsi="仿宋" w:eastAsia="仿宋" w:cs="仿宋"/>
          <w:b w:val="0"/>
          <w:bCs w:val="0"/>
          <w:i w:val="0"/>
          <w:iCs w:val="0"/>
          <w:caps w:val="0"/>
          <w:color w:val="0F1115"/>
          <w:spacing w:val="0"/>
          <w:sz w:val="32"/>
          <w:szCs w:val="32"/>
          <w:highlight w:val="none"/>
          <w:u w:val="none"/>
          <w:shd w:val="clear" w:fill="FFFFFF"/>
        </w:rPr>
        <w:t>实现资产盘活与产业升级双赢</w:t>
      </w:r>
      <w:r>
        <w:rPr>
          <w:rStyle w:val="15"/>
          <w:rFonts w:hint="eastAsia" w:ascii="仿宋" w:hAnsi="仿宋" w:eastAsia="仿宋" w:cs="仿宋"/>
          <w:b w:val="0"/>
          <w:bCs w:val="0"/>
          <w:i w:val="0"/>
          <w:iCs w:val="0"/>
          <w:caps w:val="0"/>
          <w:color w:val="0F1115"/>
          <w:spacing w:val="0"/>
          <w:sz w:val="32"/>
          <w:szCs w:val="32"/>
          <w:highlight w:val="none"/>
          <w:u w:val="none"/>
          <w:shd w:val="clear" w:fill="FFFFFF"/>
          <w:lang w:eastAsia="zh-CN"/>
        </w:rPr>
        <w:t>。</w:t>
      </w:r>
      <w:r>
        <w:rPr>
          <w:rStyle w:val="15"/>
          <w:rFonts w:hint="eastAsia" w:ascii="仿宋" w:hAnsi="仿宋" w:eastAsia="仿宋" w:cs="仿宋"/>
          <w:b w:val="0"/>
          <w:bCs w:val="0"/>
          <w:i w:val="0"/>
          <w:iCs w:val="0"/>
          <w:caps w:val="0"/>
          <w:color w:val="0F1115"/>
          <w:spacing w:val="0"/>
          <w:sz w:val="32"/>
          <w:szCs w:val="32"/>
          <w:highlight w:val="none"/>
          <w:u w:val="none"/>
          <w:shd w:val="clear" w:fill="FFFFFF"/>
          <w:lang w:val="en-US" w:eastAsia="zh-CN"/>
        </w:rPr>
        <w:t>2025年全系统资产经营收入较2020年增长35.5</w:t>
      </w:r>
      <w:r>
        <w:rPr>
          <w:rStyle w:val="15"/>
          <w:rFonts w:hint="eastAsia" w:ascii="仿宋" w:hAnsi="仿宋" w:eastAsia="仿宋" w:cs="仿宋"/>
          <w:b w:val="0"/>
          <w:bCs w:val="0"/>
          <w:i w:val="0"/>
          <w:iCs w:val="0"/>
          <w:caps w:val="0"/>
          <w:color w:val="0F1115"/>
          <w:spacing w:val="0"/>
          <w:sz w:val="32"/>
          <w:szCs w:val="32"/>
          <w:highlight w:val="none"/>
          <w:u w:val="none"/>
          <w:shd w:val="clear" w:fill="FFFFFF"/>
        </w:rPr>
        <w:t>%</w:t>
      </w:r>
      <w:r>
        <w:rPr>
          <w:rStyle w:val="15"/>
          <w:rFonts w:hint="eastAsia" w:ascii="仿宋" w:hAnsi="仿宋" w:eastAsia="仿宋" w:cs="仿宋"/>
          <w:b w:val="0"/>
          <w:bCs w:val="0"/>
          <w:i w:val="0"/>
          <w:iCs w:val="0"/>
          <w:caps w:val="0"/>
          <w:color w:val="0F1115"/>
          <w:spacing w:val="0"/>
          <w:sz w:val="32"/>
          <w:szCs w:val="32"/>
          <w:highlight w:val="none"/>
          <w:u w:val="none"/>
          <w:shd w:val="clear" w:fill="FFFFFF"/>
          <w:lang w:eastAsia="zh-CN"/>
        </w:rPr>
        <w:t>。</w:t>
      </w:r>
      <w:r>
        <w:rPr>
          <w:rStyle w:val="15"/>
          <w:rFonts w:hint="eastAsia" w:ascii="仿宋" w:hAnsi="仿宋" w:eastAsia="仿宋" w:cs="仿宋"/>
          <w:b/>
          <w:bCs/>
          <w:i w:val="0"/>
          <w:iCs w:val="0"/>
          <w:caps w:val="0"/>
          <w:color w:val="0F1115"/>
          <w:spacing w:val="0"/>
          <w:sz w:val="32"/>
          <w:szCs w:val="32"/>
          <w:highlight w:val="none"/>
          <w:u w:val="none"/>
          <w:shd w:val="clear" w:fill="FFFFFF"/>
        </w:rPr>
        <w:t>五是夯实基层基础，服务网络全面覆盖。</w:t>
      </w:r>
      <w:r>
        <w:rPr>
          <w:rStyle w:val="15"/>
          <w:rFonts w:hint="eastAsia" w:ascii="仿宋" w:hAnsi="仿宋" w:eastAsia="仿宋" w:cs="仿宋"/>
          <w:b w:val="0"/>
          <w:bCs w:val="0"/>
          <w:i w:val="0"/>
          <w:iCs w:val="0"/>
          <w:caps w:val="0"/>
          <w:color w:val="0F1115"/>
          <w:spacing w:val="0"/>
          <w:kern w:val="2"/>
          <w:sz w:val="32"/>
          <w:szCs w:val="32"/>
          <w:highlight w:val="none"/>
          <w:u w:val="none"/>
          <w:shd w:val="clear" w:fill="FFFFFF"/>
          <w:lang w:val="en-US" w:eastAsia="zh-CN" w:bidi="ar-SA"/>
        </w:rPr>
        <w:t>以基层社标杆社建设和“千县千社质量提升行动”为抓手，累计改造薄弱基层社7个，打造综合服务示范社10个。发展农民专业合作社407家，其中国家及省级示范社30家。健全“地网”体系，建成26家基层社、305个村级综合服务社、5家为农服务中心。</w:t>
      </w:r>
      <w:r>
        <w:rPr>
          <w:rStyle w:val="15"/>
          <w:rFonts w:hint="eastAsia" w:ascii="仿宋" w:hAnsi="仿宋" w:eastAsia="仿宋" w:cs="仿宋"/>
          <w:b w:val="0"/>
          <w:bCs w:val="0"/>
          <w:i w:val="0"/>
          <w:iCs w:val="0"/>
          <w:caps w:val="0"/>
          <w:color w:val="0F1115"/>
          <w:spacing w:val="0"/>
          <w:sz w:val="32"/>
          <w:szCs w:val="32"/>
          <w:highlight w:val="none"/>
          <w:u w:val="none"/>
          <w:shd w:val="clear" w:fill="FFFFFF"/>
          <w:lang w:val="en-US" w:eastAsia="zh-CN"/>
        </w:rPr>
        <w:t xml:space="preserve"> </w:t>
      </w:r>
    </w:p>
    <w:p w14:paraId="44498FF2">
      <w:pPr>
        <w:keepNext w:val="0"/>
        <w:keepLines w:val="0"/>
        <w:pageBreakBefore w:val="0"/>
        <w:kinsoku/>
        <w:wordWrap/>
        <w:overflowPunct/>
        <w:topLinePunct w:val="0"/>
        <w:autoSpaceDE/>
        <w:autoSpaceDN/>
        <w:bidi w:val="0"/>
        <w:adjustRightInd/>
        <w:snapToGrid/>
        <w:spacing w:line="240" w:lineRule="auto"/>
        <w:ind w:firstLine="640" w:firstLineChars="200"/>
        <w:jc w:val="both"/>
        <w:textAlignment w:val="auto"/>
        <w:rPr>
          <w:rFonts w:hint="eastAsia" w:ascii="仿宋" w:hAnsi="仿宋" w:eastAsia="仿宋" w:cs="仿宋"/>
          <w:sz w:val="32"/>
          <w:szCs w:val="32"/>
          <w:highlight w:val="none"/>
          <w:u w:val="none"/>
          <w:lang w:val="en-US" w:eastAsia="zh-CN"/>
        </w:rPr>
      </w:pPr>
      <w:r>
        <w:rPr>
          <w:rStyle w:val="15"/>
          <w:rFonts w:hint="eastAsia" w:ascii="楷体" w:hAnsi="楷体" w:eastAsia="楷体" w:cs="楷体"/>
          <w:b w:val="0"/>
          <w:bCs w:val="0"/>
          <w:i w:val="0"/>
          <w:iCs w:val="0"/>
          <w:caps w:val="0"/>
          <w:color w:val="0F1115"/>
          <w:spacing w:val="0"/>
          <w:sz w:val="32"/>
          <w:szCs w:val="32"/>
          <w:highlight w:val="none"/>
          <w:u w:val="none"/>
          <w:shd w:val="clear" w:fill="FFFFFF"/>
        </w:rPr>
        <w:t>——</w:t>
      </w:r>
      <w:r>
        <w:rPr>
          <w:rFonts w:hint="eastAsia" w:ascii="楷体" w:hAnsi="楷体" w:eastAsia="楷体" w:cs="楷体"/>
          <w:sz w:val="32"/>
          <w:szCs w:val="32"/>
          <w:highlight w:val="none"/>
          <w:u w:val="none"/>
          <w:lang w:val="en-US" w:eastAsia="zh-CN"/>
        </w:rPr>
        <w:t>勇战新冠疫情，保供稳价体现新担当。</w:t>
      </w:r>
      <w:r>
        <w:rPr>
          <w:rFonts w:hint="eastAsia" w:ascii="仿宋" w:hAnsi="仿宋" w:eastAsia="仿宋" w:cs="仿宋"/>
          <w:sz w:val="32"/>
          <w:szCs w:val="32"/>
          <w:highlight w:val="none"/>
          <w:u w:val="none"/>
          <w:lang w:val="en-US" w:eastAsia="zh-CN"/>
        </w:rPr>
        <w:t>面对新冠肺炎疫情，全市供销系统闻令而动，充分发挥组织体系和流通网络优势，全力投身保供稳价。</w:t>
      </w:r>
      <w:r>
        <w:rPr>
          <w:rFonts w:hint="eastAsia" w:ascii="仿宋" w:hAnsi="仿宋" w:eastAsia="仿宋" w:cs="仿宋"/>
          <w:b/>
          <w:bCs/>
          <w:sz w:val="32"/>
          <w:szCs w:val="32"/>
          <w:highlight w:val="none"/>
          <w:u w:val="none"/>
          <w:lang w:val="en-US" w:eastAsia="zh-CN"/>
        </w:rPr>
        <w:t>一是构筑生活物资“生命线”。</w:t>
      </w:r>
      <w:r>
        <w:rPr>
          <w:rFonts w:hint="eastAsia" w:ascii="仿宋" w:hAnsi="仿宋" w:eastAsia="仿宋" w:cs="仿宋"/>
          <w:sz w:val="32"/>
          <w:szCs w:val="32"/>
          <w:highlight w:val="none"/>
          <w:u w:val="none"/>
          <w:lang w:val="en-US" w:eastAsia="zh-CN"/>
        </w:rPr>
        <w:t>紧急启动应急机制，依托储备中心和骨干企业，组建党员突击队逆行保供，累计配送生活物资9007.5吨，有力保障了封控区市民基本生活。</w:t>
      </w:r>
      <w:r>
        <w:rPr>
          <w:rFonts w:hint="eastAsia" w:ascii="仿宋" w:hAnsi="仿宋" w:eastAsia="仿宋" w:cs="仿宋"/>
          <w:b/>
          <w:bCs/>
          <w:sz w:val="32"/>
          <w:szCs w:val="32"/>
          <w:highlight w:val="none"/>
          <w:u w:val="none"/>
          <w:lang w:val="en-US" w:eastAsia="zh-CN"/>
        </w:rPr>
        <w:t>二是稳住春耕生产保供稳价“基本盘”。</w:t>
      </w:r>
      <w:r>
        <w:rPr>
          <w:rFonts w:hint="eastAsia" w:ascii="仿宋" w:hAnsi="仿宋" w:eastAsia="仿宋" w:cs="仿宋"/>
          <w:sz w:val="32"/>
          <w:szCs w:val="32"/>
          <w:highlight w:val="none"/>
          <w:u w:val="none"/>
          <w:lang w:val="en-US" w:eastAsia="zh-CN"/>
        </w:rPr>
        <w:t>克服困难，紧急调配储备化肥等农资23800吨。在化肥价格暴涨时主动平抑物价，确保农资量足价稳质优。</w:t>
      </w:r>
      <w:r>
        <w:rPr>
          <w:rFonts w:hint="eastAsia" w:ascii="仿宋" w:hAnsi="仿宋" w:eastAsia="仿宋" w:cs="仿宋"/>
          <w:b/>
          <w:bCs/>
          <w:sz w:val="32"/>
          <w:szCs w:val="32"/>
          <w:highlight w:val="none"/>
          <w:u w:val="none"/>
          <w:lang w:val="en-US" w:eastAsia="zh-CN"/>
        </w:rPr>
        <w:t>三是当好复工复产“助推器”。</w:t>
      </w:r>
      <w:r>
        <w:rPr>
          <w:rFonts w:hint="eastAsia" w:ascii="仿宋" w:hAnsi="仿宋" w:eastAsia="仿宋" w:cs="仿宋"/>
          <w:sz w:val="32"/>
          <w:szCs w:val="32"/>
          <w:highlight w:val="none"/>
          <w:u w:val="none"/>
          <w:lang w:val="en-US" w:eastAsia="zh-CN"/>
        </w:rPr>
        <w:t>积极为企业纾困，协调落实贷款利息优惠、减免社保医保费用超1200万元，帮助企业申请贷款，推动快速复工复产。</w:t>
      </w:r>
      <w:r>
        <w:rPr>
          <w:rFonts w:hint="eastAsia" w:ascii="仿宋" w:hAnsi="仿宋" w:eastAsia="仿宋" w:cs="仿宋"/>
          <w:b/>
          <w:bCs/>
          <w:sz w:val="32"/>
          <w:szCs w:val="32"/>
          <w:highlight w:val="none"/>
          <w:u w:val="none"/>
          <w:lang w:val="en-US" w:eastAsia="zh-CN"/>
        </w:rPr>
        <w:t>四是提升应急保障“硬实力”。</w:t>
      </w:r>
      <w:r>
        <w:rPr>
          <w:rFonts w:hint="eastAsia" w:ascii="仿宋" w:hAnsi="仿宋" w:eastAsia="仿宋" w:cs="仿宋"/>
          <w:sz w:val="32"/>
          <w:szCs w:val="32"/>
          <w:highlight w:val="none"/>
          <w:u w:val="none"/>
          <w:lang w:val="en-US" w:eastAsia="zh-CN"/>
        </w:rPr>
        <w:t>总结抗疫经验，完善以市级储备为核心、基层网点为前端的物资调配体系，优化农资供应网络，建立市场监测与快速响应机制，培育壮大了一批核心保供企业。这段历程证明，全市供销系统是一支关键时刻靠得住、打得赢的为农服务骨干力量。</w:t>
      </w:r>
    </w:p>
    <w:p w14:paraId="535ADD12">
      <w:pPr>
        <w:pStyle w:val="7"/>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Style w:val="15"/>
          <w:rFonts w:hint="eastAsia" w:ascii="仿宋" w:hAnsi="仿宋" w:eastAsia="仿宋" w:cs="仿宋"/>
          <w:b w:val="0"/>
          <w:bCs w:val="0"/>
          <w:i w:val="0"/>
          <w:iCs w:val="0"/>
          <w:caps w:val="0"/>
          <w:color w:val="0F1115"/>
          <w:spacing w:val="0"/>
          <w:kern w:val="2"/>
          <w:sz w:val="32"/>
          <w:szCs w:val="32"/>
          <w:highlight w:val="none"/>
          <w:u w:val="none"/>
          <w:shd w:val="clear" w:fill="FFFFFF"/>
          <w:lang w:val="en-US" w:eastAsia="zh-CN" w:bidi="ar-SA"/>
        </w:rPr>
      </w:pPr>
      <w:r>
        <w:rPr>
          <w:rStyle w:val="15"/>
          <w:rFonts w:hint="eastAsia" w:ascii="仿宋" w:hAnsi="仿宋" w:eastAsia="仿宋" w:cs="仿宋"/>
          <w:b w:val="0"/>
          <w:bCs w:val="0"/>
          <w:i w:val="0"/>
          <w:iCs w:val="0"/>
          <w:caps w:val="0"/>
          <w:color w:val="0F1115"/>
          <w:spacing w:val="0"/>
          <w:kern w:val="2"/>
          <w:sz w:val="32"/>
          <w:szCs w:val="32"/>
          <w:highlight w:val="none"/>
          <w:u w:val="none"/>
          <w:shd w:val="clear" w:fill="FFFFFF"/>
          <w:lang w:val="en-US" w:eastAsia="zh-CN" w:bidi="ar-SA"/>
        </w:rPr>
        <w:t>五年实践充分证明，成绩来之不易，成功来自自信，取得这些成绩，根本在于习近平总书记的领航掌舵，得益于省社的精心指导，得益于市委、市政府坚强领导</w:t>
      </w:r>
      <w:r>
        <w:rPr>
          <w:rFonts w:hint="eastAsia" w:ascii="仿宋" w:hAnsi="仿宋" w:eastAsia="仿宋" w:cs="仿宋"/>
          <w:b w:val="0"/>
          <w:bCs w:val="0"/>
          <w:sz w:val="32"/>
          <w:szCs w:val="32"/>
          <w:highlight w:val="none"/>
          <w:u w:val="none"/>
          <w:lang w:val="en-US" w:eastAsia="zh-CN"/>
        </w:rPr>
        <w:t>，得益于各区委、区政府重视支持，得益于广大干部职工的团结奋进。</w:t>
      </w:r>
    </w:p>
    <w:p w14:paraId="29C0AE84">
      <w:pPr>
        <w:pStyle w:val="7"/>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Style w:val="15"/>
          <w:rFonts w:hint="eastAsia" w:ascii="仿宋" w:hAnsi="仿宋" w:eastAsia="仿宋" w:cs="仿宋"/>
          <w:b w:val="0"/>
          <w:bCs w:val="0"/>
          <w:i w:val="0"/>
          <w:iCs w:val="0"/>
          <w:caps w:val="0"/>
          <w:color w:val="0F1115"/>
          <w:spacing w:val="0"/>
          <w:kern w:val="2"/>
          <w:sz w:val="32"/>
          <w:szCs w:val="32"/>
          <w:highlight w:val="none"/>
          <w:u w:val="none"/>
          <w:shd w:val="clear" w:fill="FFFFFF"/>
          <w:lang w:val="en-US" w:eastAsia="zh-CN" w:bidi="ar-SA"/>
        </w:rPr>
      </w:pPr>
      <w:r>
        <w:rPr>
          <w:rStyle w:val="15"/>
          <w:rFonts w:hint="eastAsia" w:ascii="仿宋" w:hAnsi="仿宋" w:eastAsia="仿宋" w:cs="仿宋"/>
          <w:b w:val="0"/>
          <w:bCs w:val="0"/>
          <w:i w:val="0"/>
          <w:iCs w:val="0"/>
          <w:caps w:val="0"/>
          <w:color w:val="0F1115"/>
          <w:spacing w:val="0"/>
          <w:kern w:val="2"/>
          <w:sz w:val="32"/>
          <w:szCs w:val="32"/>
          <w:highlight w:val="none"/>
          <w:u w:val="none"/>
          <w:shd w:val="clear" w:fill="FFFFFF"/>
          <w:lang w:val="en-US" w:eastAsia="zh-CN" w:bidi="ar-SA"/>
        </w:rPr>
        <w:t>在充分肯定成绩的同时，我们必须清醒认识到工作中还存在一些问题和不足，主要是：基层基础依然薄弱，为农服务成效与农民群众期盼仍有差距；社有企业发展不够，龙头引领作用、品牌示范作用、防范风险能力有待进一步加强；持续深化综合改革深度、广度不够，“供应链”思维研究不透，综改作用还未能完全发挥；一些干部思想觉悟、服务理念、创新能力、精神状态还跟不上高质量发展要求。</w:t>
      </w:r>
    </w:p>
    <w:p w14:paraId="247EAD5A">
      <w:pPr>
        <w:keepNext w:val="0"/>
        <w:keepLines w:val="0"/>
        <w:pageBreakBefore w:val="0"/>
        <w:wordWrap/>
        <w:overflowPunct/>
        <w:topLinePunct w:val="0"/>
        <w:bidi w:val="0"/>
        <w:adjustRightInd/>
        <w:snapToGrid/>
        <w:spacing w:line="240" w:lineRule="auto"/>
        <w:ind w:firstLine="640" w:firstLineChars="200"/>
        <w:jc w:val="both"/>
        <w:rPr>
          <w:rFonts w:hint="eastAsia" w:ascii="仿宋" w:hAnsi="仿宋" w:eastAsia="仿宋" w:cs="仿宋"/>
          <w:sz w:val="32"/>
          <w:szCs w:val="32"/>
          <w:highlight w:val="none"/>
          <w:u w:val="none"/>
          <w:lang w:val="en-US" w:eastAsia="zh-CN"/>
        </w:rPr>
      </w:pPr>
      <w:r>
        <w:rPr>
          <w:rFonts w:hint="eastAsia" w:ascii="仿宋" w:hAnsi="仿宋" w:eastAsia="仿宋" w:cs="仿宋"/>
          <w:sz w:val="32"/>
          <w:szCs w:val="32"/>
          <w:highlight w:val="none"/>
          <w:u w:val="none"/>
          <w:lang w:val="en-US" w:eastAsia="zh-CN"/>
        </w:rPr>
        <w:t>五年实践深刻启示，必须始终坚持党的领导，将政治优势转化为发展优势，把党的全面领导贯穿到供销合作事业全过程，才能确保改革发展的正确方向；必须始终坚持为农服务根本宗旨，把服务“三农”作为立身之本、生存之基，在破解“谁来种地”、农产品“卖难”等急难愁盼问题中找准定位，才能不断筑牢群众基础；必须始终坚持改革创新，以刀刃向内的勇气破解历史难题，以“供应链”思维重塑竞争优势，在“社资社企”改革、“绿色农资”、“两网融合”等重点领域突破瓶颈，才能不断激发内生动力；必须始终坚持系统观念，统筹发展与安全，兼顾经济效益与社会效益，在城市保供、乡村振兴、生态文明等大局中担当作为，才能实现事业行稳致远；必须始终坚持弘扬“扁担精神”“背篓精神”，锻造一支关键时刻靠得住、打得赢的干部队伍，才能在复杂严峻的考验面前攻坚克难，续写供销合作事业新篇章。</w:t>
      </w:r>
    </w:p>
    <w:p w14:paraId="2BCB3CFB">
      <w:pPr>
        <w:pStyle w:val="3"/>
        <w:bidi w:val="0"/>
        <w:rPr>
          <w:rFonts w:hint="eastAsia"/>
          <w:lang w:eastAsia="zh-CN"/>
        </w:rPr>
      </w:pPr>
      <w:bookmarkStart w:id="5" w:name="_Toc20157"/>
      <w:r>
        <w:rPr>
          <w:rFonts w:hint="eastAsia"/>
          <w:lang w:eastAsia="zh-CN"/>
        </w:rPr>
        <w:t>二、“十五五”时期的形势分析</w:t>
      </w:r>
      <w:bookmarkEnd w:id="5"/>
    </w:p>
    <w:p w14:paraId="2FAE3991">
      <w:pPr>
        <w:pStyle w:val="4"/>
        <w:bidi w:val="0"/>
        <w:rPr>
          <w:rFonts w:hint="eastAsia"/>
        </w:rPr>
      </w:pPr>
      <w:bookmarkStart w:id="6" w:name="_Toc31345"/>
      <w:r>
        <w:rPr>
          <w:rFonts w:hint="eastAsia"/>
          <w:lang w:eastAsia="zh-CN"/>
        </w:rPr>
        <w:t>（</w:t>
      </w:r>
      <w:r>
        <w:rPr>
          <w:rFonts w:hint="eastAsia"/>
          <w:lang w:val="en-US" w:eastAsia="zh-CN"/>
        </w:rPr>
        <w:t>一</w:t>
      </w:r>
      <w:r>
        <w:rPr>
          <w:rFonts w:hint="eastAsia"/>
          <w:lang w:eastAsia="zh-CN"/>
        </w:rPr>
        <w:t>）</w:t>
      </w:r>
      <w:r>
        <w:rPr>
          <w:rFonts w:hint="eastAsia"/>
        </w:rPr>
        <w:t>“十五五”时期的历史地位</w:t>
      </w:r>
      <w:bookmarkEnd w:id="6"/>
    </w:p>
    <w:p w14:paraId="49E7A95C">
      <w:pPr>
        <w:keepNext w:val="0"/>
        <w:keepLines w:val="0"/>
        <w:pageBreakBefore w:val="0"/>
        <w:wordWrap/>
        <w:overflowPunct/>
        <w:topLinePunct w:val="0"/>
        <w:bidi w:val="0"/>
        <w:adjustRightInd/>
        <w:snapToGrid/>
        <w:spacing w:line="240" w:lineRule="auto"/>
        <w:ind w:firstLine="640" w:firstLineChars="200"/>
        <w:jc w:val="both"/>
        <w:rPr>
          <w:rFonts w:hint="eastAsia" w:ascii="仿宋_GB2312" w:hAnsi="仿宋_GB2312" w:eastAsia="仿宋_GB2312" w:cs="仿宋_GB2312"/>
          <w:kern w:val="0"/>
          <w:sz w:val="32"/>
          <w:szCs w:val="32"/>
          <w:highlight w:val="none"/>
          <w:u w:val="none"/>
        </w:rPr>
      </w:pPr>
      <w:r>
        <w:rPr>
          <w:rStyle w:val="15"/>
          <w:rFonts w:hint="eastAsia" w:ascii="仿宋" w:hAnsi="仿宋" w:eastAsia="仿宋" w:cs="仿宋"/>
          <w:b w:val="0"/>
          <w:bCs w:val="0"/>
          <w:i w:val="0"/>
          <w:iCs w:val="0"/>
          <w:caps w:val="0"/>
          <w:color w:val="0F1115"/>
          <w:spacing w:val="0"/>
          <w:kern w:val="2"/>
          <w:sz w:val="32"/>
          <w:szCs w:val="32"/>
          <w:highlight w:val="none"/>
          <w:u w:val="none"/>
          <w:shd w:val="clear" w:fill="FFFFFF"/>
          <w:lang w:val="en-US" w:eastAsia="zh-CN" w:bidi="ar-SA"/>
        </w:rPr>
        <w:t>“十五五”时期是基本实现社会主义现代化夯实基础、全面发力的关键时期，在基本实现社会主义现代化进程中具有承前启后的重要地位。党的二十届四中全会通过的《中共中央关于制定国民经济和社会发展第十五个五年规划的建议》，继续把推动高质量发展确定为“十五五”时期经济社会发展的主题，明确了“十五五”时期经济社会发展的指导方针和主要目标，擘画了未来五年发展的宏伟蓝图，部署了一系列重大战略、重大任务、重大举措。特别是《建议》对加快农业农村现代化、扎实推进乡村全面振兴作出专章部署，明确了“十五五”时期农业农村发展的战略任务，提出了一系列强农惠农富农政策，这些都为供销合作社提供了重大机遇和广阔空间。同时，“十五五”时期我国发展环境面临深刻复杂变化，特别是农业生产方式深刻变革，城乡融合发展步伐加快，农民服务需求更加多元，流通业态持续迭代升级，农村市场竞争更趋激烈，对供销合作社提出了新挑战。全系统必须保持战略定力，增强必胜信心，积极识变应变求变，抓机遇、迎挑战、强实力，在服务党和国家工作大局中作出更大贡献。</w:t>
      </w:r>
    </w:p>
    <w:p w14:paraId="228B3C0A">
      <w:pPr>
        <w:pStyle w:val="4"/>
        <w:bidi w:val="0"/>
        <w:ind w:firstLine="880"/>
        <w:rPr>
          <w:rFonts w:hint="eastAsia" w:ascii="Arial" w:hAnsi="Arial"/>
          <w:b w:val="0"/>
          <w:lang w:eastAsia="zh-CN"/>
        </w:rPr>
      </w:pPr>
      <w:bookmarkStart w:id="7" w:name="_Toc27081"/>
      <w:r>
        <w:rPr>
          <w:rFonts w:hint="eastAsia" w:ascii="Arial" w:hAnsi="Arial"/>
          <w:b w:val="0"/>
          <w:lang w:eastAsia="zh-CN"/>
        </w:rPr>
        <w:t>（</w:t>
      </w:r>
      <w:r>
        <w:rPr>
          <w:rFonts w:hint="eastAsia" w:ascii="Arial" w:hAnsi="Arial"/>
          <w:b w:val="0"/>
          <w:lang w:val="en-US" w:eastAsia="zh-CN"/>
        </w:rPr>
        <w:t>二</w:t>
      </w:r>
      <w:r>
        <w:rPr>
          <w:rFonts w:hint="eastAsia" w:ascii="Arial" w:hAnsi="Arial"/>
          <w:b w:val="0"/>
          <w:lang w:eastAsia="zh-CN"/>
        </w:rPr>
        <w:t>）“十五五”时期的发展环境</w:t>
      </w:r>
      <w:bookmarkEnd w:id="7"/>
    </w:p>
    <w:bookmarkEnd w:id="2"/>
    <w:p w14:paraId="2D84AD3D">
      <w:pPr>
        <w:pStyle w:val="7"/>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Style w:val="15"/>
          <w:rFonts w:hint="eastAsia" w:ascii="仿宋" w:hAnsi="仿宋" w:eastAsia="仿宋" w:cs="仿宋"/>
          <w:b w:val="0"/>
          <w:bCs w:val="0"/>
          <w:i w:val="0"/>
          <w:iCs w:val="0"/>
          <w:caps w:val="0"/>
          <w:color w:val="0F1115"/>
          <w:spacing w:val="0"/>
          <w:kern w:val="2"/>
          <w:sz w:val="32"/>
          <w:szCs w:val="32"/>
          <w:highlight w:val="none"/>
          <w:u w:val="none"/>
          <w:shd w:val="clear" w:fill="FFFFFF"/>
          <w:lang w:val="en-US" w:eastAsia="zh-CN" w:bidi="ar-SA"/>
        </w:rPr>
      </w:pPr>
      <w:r>
        <w:rPr>
          <w:rStyle w:val="15"/>
          <w:rFonts w:hint="eastAsia" w:ascii="仿宋" w:hAnsi="仿宋" w:eastAsia="仿宋" w:cs="仿宋"/>
          <w:b w:val="0"/>
          <w:bCs w:val="0"/>
          <w:i w:val="0"/>
          <w:iCs w:val="0"/>
          <w:caps w:val="0"/>
          <w:color w:val="0F1115"/>
          <w:spacing w:val="0"/>
          <w:kern w:val="2"/>
          <w:sz w:val="32"/>
          <w:szCs w:val="32"/>
          <w:highlight w:val="none"/>
          <w:u w:val="none"/>
          <w:shd w:val="clear" w:fill="FFFFFF"/>
          <w:lang w:val="en-US" w:eastAsia="zh-CN" w:bidi="ar-SA"/>
        </w:rPr>
        <w:t>当前，国内外形势深刻变化，不稳定不确定因素增多，但我国经济长期向好的基本面没有改变。鄂州作为全省重大战略的承载地，发展环境“四期叠加”的特征尤为明显，机遇与挑战并存。</w:t>
      </w:r>
    </w:p>
    <w:p w14:paraId="45EDE434">
      <w:pPr>
        <w:keepNext w:val="0"/>
        <w:keepLines w:val="0"/>
        <w:pageBreakBefore w:val="0"/>
        <w:wordWrap/>
        <w:overflowPunct/>
        <w:topLinePunct w:val="0"/>
        <w:bidi w:val="0"/>
        <w:adjustRightInd/>
        <w:snapToGrid/>
        <w:spacing w:line="240" w:lineRule="auto"/>
        <w:ind w:firstLine="643" w:firstLineChars="200"/>
        <w:jc w:val="both"/>
        <w:rPr>
          <w:rFonts w:hint="eastAsia" w:ascii="仿宋" w:hAnsi="仿宋" w:eastAsia="仿宋" w:cs="仿宋"/>
          <w:b/>
          <w:bCs/>
          <w:sz w:val="32"/>
          <w:szCs w:val="32"/>
          <w:highlight w:val="none"/>
          <w:u w:val="none"/>
          <w:lang w:val="en-US" w:eastAsia="zh-CN"/>
        </w:rPr>
      </w:pPr>
      <w:r>
        <w:rPr>
          <w:rFonts w:hint="eastAsia" w:ascii="仿宋" w:hAnsi="仿宋" w:eastAsia="仿宋" w:cs="仿宋"/>
          <w:b/>
          <w:bCs/>
          <w:sz w:val="32"/>
          <w:szCs w:val="32"/>
          <w:highlight w:val="none"/>
          <w:u w:val="none"/>
          <w:lang w:val="en-US" w:eastAsia="zh-CN"/>
        </w:rPr>
        <w:t>从发展机遇看：</w:t>
      </w:r>
    </w:p>
    <w:p w14:paraId="55C7EBDA">
      <w:pPr>
        <w:keepNext w:val="0"/>
        <w:keepLines w:val="0"/>
        <w:pageBreakBefore w:val="0"/>
        <w:wordWrap/>
        <w:overflowPunct/>
        <w:topLinePunct w:val="0"/>
        <w:bidi w:val="0"/>
        <w:adjustRightInd/>
        <w:snapToGrid/>
        <w:spacing w:line="240" w:lineRule="auto"/>
        <w:ind w:firstLine="643" w:firstLineChars="200"/>
        <w:jc w:val="both"/>
        <w:rPr>
          <w:rFonts w:hint="eastAsia" w:ascii="仿宋" w:hAnsi="仿宋" w:eastAsia="仿宋" w:cs="仿宋"/>
          <w:kern w:val="0"/>
          <w:sz w:val="32"/>
          <w:szCs w:val="32"/>
          <w:highlight w:val="none"/>
          <w:u w:val="none"/>
        </w:rPr>
      </w:pPr>
      <w:r>
        <w:rPr>
          <w:rFonts w:hint="eastAsia" w:ascii="仿宋" w:hAnsi="仿宋" w:eastAsia="仿宋" w:cs="仿宋"/>
          <w:b/>
          <w:bCs/>
          <w:kern w:val="0"/>
          <w:sz w:val="32"/>
          <w:szCs w:val="32"/>
          <w:highlight w:val="none"/>
          <w:u w:val="none"/>
        </w:rPr>
        <w:t>——省级战略聚焦带来的政策机遇。</w:t>
      </w:r>
      <w:r>
        <w:rPr>
          <w:rFonts w:hint="eastAsia" w:ascii="仿宋" w:hAnsi="仿宋" w:eastAsia="仿宋" w:cs="仿宋"/>
          <w:kern w:val="0"/>
          <w:sz w:val="32"/>
          <w:szCs w:val="32"/>
          <w:highlight w:val="none"/>
          <w:u w:val="none"/>
        </w:rPr>
        <w:t>省委省政府高位推进供销社综合改革，将其纳入强县工程和乡村振兴考核，并出台一系列支持政策。省社“十五五”规划明确提出加快培育新质生产力、建设“九大商”、推进“三业并举”等重点任务，并配套了资金、项目支持。鄂州市供销社可以紧密对接省社战略，争取在农资储备、农业社会化服务试点、再生资源“两网融合”、冷链物流设施建设等方面获得更多省级项目落地和资金倾斜，实现借力发展。</w:t>
      </w:r>
    </w:p>
    <w:p w14:paraId="54C95FDB">
      <w:pPr>
        <w:keepNext w:val="0"/>
        <w:keepLines w:val="0"/>
        <w:pageBreakBefore w:val="0"/>
        <w:wordWrap/>
        <w:overflowPunct/>
        <w:topLinePunct w:val="0"/>
        <w:bidi w:val="0"/>
        <w:adjustRightInd/>
        <w:snapToGrid/>
        <w:spacing w:line="240" w:lineRule="auto"/>
        <w:ind w:firstLine="643" w:firstLineChars="200"/>
        <w:jc w:val="both"/>
        <w:rPr>
          <w:rFonts w:hint="eastAsia" w:ascii="仿宋" w:hAnsi="仿宋" w:eastAsia="仿宋" w:cs="仿宋"/>
          <w:kern w:val="0"/>
          <w:sz w:val="32"/>
          <w:szCs w:val="32"/>
          <w:highlight w:val="none"/>
          <w:u w:val="none"/>
        </w:rPr>
      </w:pPr>
      <w:r>
        <w:rPr>
          <w:rFonts w:hint="eastAsia" w:ascii="仿宋" w:hAnsi="仿宋" w:eastAsia="仿宋" w:cs="仿宋"/>
          <w:b/>
          <w:bCs/>
          <w:kern w:val="0"/>
          <w:sz w:val="32"/>
          <w:szCs w:val="32"/>
          <w:highlight w:val="none"/>
          <w:u w:val="none"/>
        </w:rPr>
        <w:t>——区域协同发展带来的市场机遇。</w:t>
      </w:r>
      <w:r>
        <w:rPr>
          <w:rFonts w:hint="eastAsia" w:ascii="仿宋" w:hAnsi="仿宋" w:eastAsia="仿宋" w:cs="仿宋"/>
          <w:kern w:val="0"/>
          <w:sz w:val="32"/>
          <w:szCs w:val="32"/>
          <w:highlight w:val="none"/>
          <w:u w:val="none"/>
        </w:rPr>
        <w:t>鄂州正深度融入武汉都市圈，光谷科创大走廊向东延伸，武鄂同城化加速。这为供销社拓展服务半径、对接高端市场提供了广阔舞台。鄂州供销社可以积极对接武汉及都市圈内的大型商超、高校、机关食堂，建立稳定的农产品直供渠道；可以承接武汉产业外溢，发展农产品精深加工；可以学习借鉴武汉等地的先进经验和创新模式，加速自身转型升级。</w:t>
      </w:r>
    </w:p>
    <w:p w14:paraId="6EAD5E64">
      <w:pPr>
        <w:keepNext w:val="0"/>
        <w:keepLines w:val="0"/>
        <w:pageBreakBefore w:val="0"/>
        <w:wordWrap/>
        <w:overflowPunct/>
        <w:topLinePunct w:val="0"/>
        <w:bidi w:val="0"/>
        <w:adjustRightInd/>
        <w:snapToGrid/>
        <w:spacing w:line="240" w:lineRule="auto"/>
        <w:ind w:firstLine="643" w:firstLineChars="200"/>
        <w:jc w:val="both"/>
        <w:rPr>
          <w:rFonts w:hint="eastAsia" w:ascii="仿宋" w:hAnsi="仿宋" w:eastAsia="仿宋" w:cs="仿宋"/>
          <w:kern w:val="0"/>
          <w:sz w:val="32"/>
          <w:szCs w:val="32"/>
          <w:highlight w:val="none"/>
          <w:u w:val="none"/>
        </w:rPr>
      </w:pPr>
      <w:r>
        <w:rPr>
          <w:rFonts w:hint="eastAsia" w:ascii="仿宋" w:hAnsi="仿宋" w:eastAsia="仿宋" w:cs="仿宋"/>
          <w:b/>
          <w:bCs/>
          <w:sz w:val="32"/>
          <w:szCs w:val="32"/>
          <w:highlight w:val="none"/>
          <w:u w:val="none"/>
          <w:lang w:val="en-US" w:eastAsia="zh-CN"/>
        </w:rPr>
        <w:t>——枢纽地位跃升带来的开放机遇。</w:t>
      </w:r>
      <w:r>
        <w:rPr>
          <w:rFonts w:hint="eastAsia" w:ascii="仿宋" w:hAnsi="仿宋" w:eastAsia="仿宋" w:cs="仿宋"/>
          <w:b w:val="0"/>
          <w:bCs w:val="0"/>
          <w:sz w:val="32"/>
          <w:szCs w:val="32"/>
          <w:highlight w:val="none"/>
          <w:u w:val="none"/>
          <w:lang w:val="en-US" w:eastAsia="zh-CN"/>
        </w:rPr>
        <w:t>随</w:t>
      </w:r>
      <w:r>
        <w:rPr>
          <w:rFonts w:hint="eastAsia" w:ascii="仿宋" w:hAnsi="仿宋" w:eastAsia="仿宋" w:cs="仿宋"/>
          <w:kern w:val="0"/>
          <w:sz w:val="32"/>
          <w:szCs w:val="32"/>
          <w:highlight w:val="none"/>
          <w:u w:val="none"/>
        </w:rPr>
        <w:t>着花湖机场作为国际一流航空货运枢纽的全面建成和高效运营，鄂州已成为国内大循环的重要节点和国内国际双循环的战略链接。这为供销社提供了前所未有的开放窗口。供销社可以利用机场优势，发展“临空农业”和农产品跨境电商，将鄂州的特色农产品通过“空中出海口”快速送达全球，同时探索进口优质农产品、消费品的分拨和销售业务，真正实现“买全球、卖全球”，提升鄂州供销的对外开放度和产业链价值。</w:t>
      </w:r>
    </w:p>
    <w:p w14:paraId="4D4931CC">
      <w:pPr>
        <w:keepNext w:val="0"/>
        <w:keepLines w:val="0"/>
        <w:pageBreakBefore w:val="0"/>
        <w:wordWrap/>
        <w:overflowPunct/>
        <w:topLinePunct w:val="0"/>
        <w:bidi w:val="0"/>
        <w:adjustRightInd/>
        <w:snapToGrid/>
        <w:spacing w:line="240" w:lineRule="auto"/>
        <w:ind w:firstLine="643" w:firstLineChars="200"/>
        <w:jc w:val="both"/>
        <w:rPr>
          <w:rFonts w:hint="eastAsia" w:ascii="仿宋" w:hAnsi="仿宋" w:eastAsia="仿宋" w:cs="仿宋"/>
          <w:kern w:val="0"/>
          <w:sz w:val="32"/>
          <w:szCs w:val="32"/>
          <w:highlight w:val="none"/>
          <w:u w:val="none"/>
        </w:rPr>
      </w:pPr>
      <w:r>
        <w:rPr>
          <w:rFonts w:hint="eastAsia" w:ascii="仿宋" w:hAnsi="仿宋" w:eastAsia="仿宋" w:cs="仿宋"/>
          <w:b/>
          <w:bCs/>
          <w:kern w:val="0"/>
          <w:sz w:val="32"/>
          <w:szCs w:val="32"/>
          <w:highlight w:val="none"/>
          <w:u w:val="none"/>
        </w:rPr>
        <w:t>——自身转型突破带来的内生机遇。</w:t>
      </w:r>
      <w:r>
        <w:rPr>
          <w:rFonts w:hint="eastAsia" w:ascii="仿宋" w:hAnsi="仿宋" w:eastAsia="仿宋" w:cs="仿宋"/>
          <w:kern w:val="0"/>
          <w:sz w:val="32"/>
          <w:szCs w:val="32"/>
          <w:highlight w:val="none"/>
          <w:u w:val="none"/>
        </w:rPr>
        <w:t>经过“十四五”的恢复重建和改革探索，鄂州市供销社系统在基层社建设、社有企业管理等方面积累了一定经验，历史包袱逐步化解，发展思路更加清晰。特别是鄂州城市化水平</w:t>
      </w:r>
      <w:r>
        <w:rPr>
          <w:rFonts w:hint="eastAsia" w:ascii="仿宋" w:hAnsi="仿宋" w:eastAsia="仿宋" w:cs="仿宋"/>
          <w:kern w:val="0"/>
          <w:sz w:val="32"/>
          <w:szCs w:val="32"/>
          <w:highlight w:val="none"/>
          <w:u w:val="none"/>
          <w:lang w:val="en-US" w:eastAsia="zh-CN"/>
        </w:rPr>
        <w:t>逐渐提</w:t>
      </w:r>
      <w:r>
        <w:rPr>
          <w:rFonts w:hint="eastAsia" w:ascii="仿宋" w:hAnsi="仿宋" w:eastAsia="仿宋" w:cs="仿宋"/>
          <w:kern w:val="0"/>
          <w:sz w:val="32"/>
          <w:szCs w:val="32"/>
          <w:highlight w:val="none"/>
          <w:u w:val="none"/>
        </w:rPr>
        <w:t>高、农业适度规模经营基础好、数字经济发展潜力大，为供销社发展新质生产力、探索“智慧农服”“数字流通”等新业态提供了良好的土壤和应用场景。</w:t>
      </w:r>
    </w:p>
    <w:p w14:paraId="7EC8095E">
      <w:pPr>
        <w:keepNext w:val="0"/>
        <w:keepLines w:val="0"/>
        <w:pageBreakBefore w:val="0"/>
        <w:wordWrap/>
        <w:overflowPunct/>
        <w:topLinePunct w:val="0"/>
        <w:bidi w:val="0"/>
        <w:adjustRightInd/>
        <w:snapToGrid/>
        <w:spacing w:line="240" w:lineRule="auto"/>
        <w:ind w:firstLine="643" w:firstLineChars="200"/>
        <w:jc w:val="both"/>
        <w:rPr>
          <w:rFonts w:hint="eastAsia" w:ascii="仿宋" w:hAnsi="仿宋" w:eastAsia="仿宋" w:cs="仿宋"/>
          <w:b/>
          <w:bCs/>
          <w:kern w:val="0"/>
          <w:sz w:val="32"/>
          <w:szCs w:val="32"/>
          <w:highlight w:val="none"/>
          <w:u w:val="none"/>
        </w:rPr>
      </w:pPr>
      <w:r>
        <w:rPr>
          <w:rFonts w:hint="eastAsia" w:ascii="仿宋" w:hAnsi="仿宋" w:eastAsia="仿宋" w:cs="仿宋"/>
          <w:b/>
          <w:bCs/>
          <w:kern w:val="0"/>
          <w:sz w:val="32"/>
          <w:szCs w:val="32"/>
          <w:highlight w:val="none"/>
          <w:u w:val="none"/>
        </w:rPr>
        <w:t>从风险挑战看：</w:t>
      </w:r>
    </w:p>
    <w:p w14:paraId="3D69E986">
      <w:pPr>
        <w:keepNext w:val="0"/>
        <w:keepLines w:val="0"/>
        <w:pageBreakBefore w:val="0"/>
        <w:wordWrap/>
        <w:overflowPunct/>
        <w:topLinePunct w:val="0"/>
        <w:bidi w:val="0"/>
        <w:adjustRightInd/>
        <w:snapToGrid/>
        <w:spacing w:line="240" w:lineRule="auto"/>
        <w:ind w:firstLine="643" w:firstLineChars="200"/>
        <w:jc w:val="both"/>
        <w:rPr>
          <w:rFonts w:hint="eastAsia" w:ascii="仿宋" w:hAnsi="仿宋" w:eastAsia="仿宋" w:cs="仿宋"/>
          <w:kern w:val="0"/>
          <w:sz w:val="32"/>
          <w:szCs w:val="32"/>
          <w:highlight w:val="none"/>
          <w:u w:val="none"/>
        </w:rPr>
      </w:pPr>
      <w:r>
        <w:rPr>
          <w:rFonts w:hint="eastAsia" w:ascii="仿宋" w:hAnsi="仿宋" w:eastAsia="仿宋" w:cs="仿宋"/>
          <w:b/>
          <w:bCs/>
          <w:kern w:val="0"/>
          <w:sz w:val="32"/>
          <w:szCs w:val="32"/>
          <w:highlight w:val="none"/>
          <w:u w:val="none"/>
        </w:rPr>
        <w:t>——农业社会化服务需求升级带来的挑战。</w:t>
      </w:r>
      <w:r>
        <w:rPr>
          <w:rFonts w:hint="eastAsia" w:ascii="仿宋" w:hAnsi="仿宋" w:eastAsia="仿宋" w:cs="仿宋"/>
          <w:kern w:val="0"/>
          <w:sz w:val="32"/>
          <w:szCs w:val="32"/>
          <w:highlight w:val="none"/>
          <w:u w:val="none"/>
        </w:rPr>
        <w:t>随着农村劳动力老龄化和土地流转加速，新型农业经营主体对农业社会化服务的需求从单一的耕、种、收，向技术集成、金融保险、品牌营销等全链条、综合性服务升级。鄂州农业以精细化和特色化为主，这对供销社的服务技术、人才储备和模式创新能力提出了更高要求。如何从简单的劳务托管向提供技术赋能、金融支持的现代农业综合服务商转型，是必须跨越的关口。</w:t>
      </w:r>
    </w:p>
    <w:p w14:paraId="06117B63">
      <w:pPr>
        <w:keepNext w:val="0"/>
        <w:keepLines w:val="0"/>
        <w:pageBreakBefore w:val="0"/>
        <w:wordWrap/>
        <w:overflowPunct/>
        <w:topLinePunct w:val="0"/>
        <w:bidi w:val="0"/>
        <w:adjustRightInd/>
        <w:snapToGrid/>
        <w:spacing w:line="240" w:lineRule="auto"/>
        <w:ind w:firstLine="643" w:firstLineChars="200"/>
        <w:jc w:val="both"/>
        <w:rPr>
          <w:rFonts w:hint="eastAsia" w:ascii="仿宋" w:hAnsi="仿宋" w:eastAsia="仿宋" w:cs="仿宋"/>
          <w:kern w:val="0"/>
          <w:sz w:val="32"/>
          <w:szCs w:val="32"/>
          <w:highlight w:val="none"/>
          <w:u w:val="none"/>
        </w:rPr>
      </w:pPr>
      <w:r>
        <w:rPr>
          <w:rFonts w:hint="eastAsia" w:ascii="仿宋" w:hAnsi="仿宋" w:eastAsia="仿宋" w:cs="仿宋"/>
          <w:b/>
          <w:bCs/>
          <w:kern w:val="0"/>
          <w:sz w:val="32"/>
          <w:szCs w:val="32"/>
          <w:highlight w:val="none"/>
          <w:u w:val="none"/>
        </w:rPr>
        <w:t>——流通领域激烈竞争带来的挑战。</w:t>
      </w:r>
      <w:r>
        <w:rPr>
          <w:rFonts w:hint="eastAsia" w:ascii="仿宋" w:hAnsi="仿宋" w:eastAsia="仿宋" w:cs="仿宋"/>
          <w:kern w:val="0"/>
          <w:sz w:val="32"/>
          <w:szCs w:val="32"/>
          <w:highlight w:val="none"/>
          <w:u w:val="none"/>
        </w:rPr>
        <w:t>数字经济深度重塑流通格局，电商巨头、社区团购、快递物流企业纷纷下沉，农村市场竞争白热化。鄂州作为物流枢纽，更是各路资本争夺的高地。供销社传统的“一买一卖”模式和实体网络面临巨大冲击。如何在激烈的市场竞争中，利用“扁担精神”的情感认同和扎根基层的组织优势，通过数字化赋能，重构“人、货、场”，重塑核心竞争力，</w:t>
      </w:r>
      <w:r>
        <w:rPr>
          <w:rFonts w:hint="eastAsia" w:ascii="仿宋" w:hAnsi="仿宋" w:eastAsia="仿宋" w:cs="仿宋"/>
          <w:kern w:val="0"/>
          <w:sz w:val="32"/>
          <w:szCs w:val="32"/>
          <w:highlight w:val="none"/>
          <w:u w:val="none"/>
          <w:lang w:val="en-US" w:eastAsia="zh-CN"/>
        </w:rPr>
        <w:t>依托花湖机场得天独厚的优势，实现外贸进出口业务破零，</w:t>
      </w:r>
      <w:r>
        <w:rPr>
          <w:rFonts w:hint="eastAsia" w:ascii="仿宋" w:hAnsi="仿宋" w:eastAsia="仿宋" w:cs="仿宋"/>
          <w:kern w:val="0"/>
          <w:sz w:val="32"/>
          <w:szCs w:val="32"/>
          <w:highlight w:val="none"/>
          <w:u w:val="none"/>
        </w:rPr>
        <w:t>守住并扩大市场份额，是生死考验。</w:t>
      </w:r>
    </w:p>
    <w:p w14:paraId="2085CAE6">
      <w:pPr>
        <w:keepNext w:val="0"/>
        <w:keepLines w:val="0"/>
        <w:pageBreakBefore w:val="0"/>
        <w:wordWrap/>
        <w:overflowPunct/>
        <w:topLinePunct w:val="0"/>
        <w:bidi w:val="0"/>
        <w:adjustRightInd/>
        <w:snapToGrid/>
        <w:spacing w:line="240" w:lineRule="auto"/>
        <w:ind w:firstLine="643" w:firstLineChars="200"/>
        <w:jc w:val="both"/>
        <w:rPr>
          <w:rFonts w:hint="eastAsia" w:ascii="仿宋" w:hAnsi="仿宋" w:eastAsia="仿宋" w:cs="仿宋"/>
          <w:kern w:val="0"/>
          <w:sz w:val="32"/>
          <w:szCs w:val="32"/>
          <w:highlight w:val="none"/>
          <w:u w:val="none"/>
        </w:rPr>
      </w:pPr>
      <w:r>
        <w:rPr>
          <w:rFonts w:hint="eastAsia" w:ascii="仿宋" w:hAnsi="仿宋" w:eastAsia="仿宋" w:cs="仿宋"/>
          <w:b/>
          <w:bCs/>
          <w:kern w:val="0"/>
          <w:sz w:val="32"/>
          <w:szCs w:val="32"/>
          <w:highlight w:val="none"/>
          <w:u w:val="none"/>
        </w:rPr>
        <w:t>——基层社发展不平衡带来的挑战。</w:t>
      </w:r>
      <w:r>
        <w:rPr>
          <w:rFonts w:hint="eastAsia" w:ascii="仿宋" w:hAnsi="仿宋" w:eastAsia="仿宋" w:cs="仿宋"/>
          <w:kern w:val="0"/>
          <w:sz w:val="32"/>
          <w:szCs w:val="32"/>
          <w:highlight w:val="none"/>
          <w:u w:val="none"/>
        </w:rPr>
        <w:t>尽管“十四五”期间有所恢复，但部分基层社经济实力弱、服务功能单一、与农民利益联结不紧密的问题依然存在。部分基层社资产闲置、人才匮乏，难以有效承接服务“三农”的任务。如何在“十五五”期间，真正实现从“挂牌”到“做实”，从“输血”到“造血”，全面提升基层社的运营质量和联农带农能力，关乎供销社发展的根基。</w:t>
      </w:r>
    </w:p>
    <w:p w14:paraId="6C3774C6">
      <w:pPr>
        <w:keepNext w:val="0"/>
        <w:keepLines w:val="0"/>
        <w:pageBreakBefore w:val="0"/>
        <w:wordWrap/>
        <w:overflowPunct/>
        <w:topLinePunct w:val="0"/>
        <w:bidi w:val="0"/>
        <w:adjustRightInd/>
        <w:snapToGrid/>
        <w:spacing w:line="240" w:lineRule="auto"/>
        <w:ind w:firstLine="643" w:firstLineChars="200"/>
        <w:jc w:val="both"/>
        <w:rPr>
          <w:rFonts w:hint="eastAsia" w:ascii="仿宋" w:hAnsi="仿宋" w:eastAsia="仿宋" w:cs="仿宋"/>
          <w:kern w:val="0"/>
          <w:sz w:val="32"/>
          <w:szCs w:val="32"/>
          <w:highlight w:val="none"/>
          <w:u w:val="none"/>
        </w:rPr>
      </w:pPr>
      <w:r>
        <w:rPr>
          <w:rFonts w:hint="eastAsia" w:ascii="仿宋" w:hAnsi="仿宋" w:eastAsia="仿宋" w:cs="仿宋"/>
          <w:b/>
          <w:bCs/>
          <w:kern w:val="0"/>
          <w:sz w:val="32"/>
          <w:szCs w:val="32"/>
          <w:highlight w:val="none"/>
          <w:u w:val="none"/>
        </w:rPr>
        <w:t>——社有企业核心竞争力不强带来的挑战。</w:t>
      </w:r>
      <w:r>
        <w:rPr>
          <w:rFonts w:hint="eastAsia" w:ascii="仿宋" w:hAnsi="仿宋" w:eastAsia="仿宋" w:cs="仿宋"/>
          <w:kern w:val="0"/>
          <w:sz w:val="32"/>
          <w:szCs w:val="32"/>
          <w:highlight w:val="none"/>
          <w:u w:val="none"/>
        </w:rPr>
        <w:t>鄂州市社本级及区级社有企业普遍存在规模小、主业不突出、盈利能力弱的问题，缺乏在区域内有影响力的龙头企业。在市场化项目中，资本实力、管理经验和抗风险能力都显不足。如何按照省社“社资社企改革”的要求，盘活存量资产，引入战略投资，培育具有核心竞争力的市场主体，做强做优做大社有资本，是决定未来发展高度的核心问题。</w:t>
      </w:r>
    </w:p>
    <w:p w14:paraId="76D39B51">
      <w:pPr>
        <w:pStyle w:val="3"/>
        <w:bidi w:val="0"/>
        <w:rPr>
          <w:rFonts w:hint="default"/>
          <w:lang w:val="en-US" w:eastAsia="zh-CN"/>
        </w:rPr>
      </w:pPr>
      <w:bookmarkStart w:id="8" w:name="_Toc13912"/>
      <w:r>
        <w:rPr>
          <w:rFonts w:hint="eastAsia"/>
        </w:rPr>
        <w:t>三、“十五五”时期</w:t>
      </w:r>
      <w:bookmarkStart w:id="9" w:name="_Toc22497"/>
      <w:bookmarkStart w:id="10" w:name="_Toc30087"/>
      <w:r>
        <w:rPr>
          <w:rFonts w:hint="eastAsia"/>
          <w:lang w:val="en-US" w:eastAsia="zh-CN"/>
        </w:rPr>
        <w:t>全市供销系统改革发展的总体要求</w:t>
      </w:r>
      <w:bookmarkEnd w:id="8"/>
    </w:p>
    <w:bookmarkEnd w:id="9"/>
    <w:bookmarkEnd w:id="10"/>
    <w:p w14:paraId="7CE3B64C">
      <w:pPr>
        <w:pStyle w:val="4"/>
        <w:bidi w:val="0"/>
        <w:rPr>
          <w:rFonts w:hint="eastAsia"/>
        </w:rPr>
      </w:pPr>
      <w:bookmarkStart w:id="11" w:name="_Toc27419"/>
      <w:r>
        <w:rPr>
          <w:rFonts w:hint="eastAsia"/>
        </w:rPr>
        <w:t>（一）指导思想</w:t>
      </w:r>
      <w:bookmarkEnd w:id="11"/>
      <w:bookmarkStart w:id="12" w:name="_Toc17337"/>
      <w:bookmarkStart w:id="13" w:name="_Toc12661"/>
    </w:p>
    <w:p w14:paraId="5FA83D29">
      <w:pPr>
        <w:keepNext w:val="0"/>
        <w:keepLines w:val="0"/>
        <w:pageBreakBefore w:val="0"/>
        <w:wordWrap/>
        <w:overflowPunct/>
        <w:topLinePunct w:val="0"/>
        <w:bidi w:val="0"/>
        <w:adjustRightInd/>
        <w:snapToGrid/>
        <w:spacing w:line="240" w:lineRule="auto"/>
        <w:ind w:firstLine="640" w:firstLineChars="200"/>
        <w:jc w:val="both"/>
        <w:rPr>
          <w:rFonts w:hint="eastAsia" w:ascii="仿宋" w:hAnsi="仿宋" w:eastAsia="仿宋" w:cs="仿宋"/>
          <w:sz w:val="32"/>
          <w:szCs w:val="32"/>
          <w:highlight w:val="none"/>
          <w:u w:val="none"/>
        </w:rPr>
      </w:pPr>
      <w:r>
        <w:rPr>
          <w:rFonts w:hint="eastAsia" w:ascii="仿宋" w:hAnsi="仿宋" w:eastAsia="仿宋" w:cs="仿宋"/>
          <w:sz w:val="32"/>
          <w:szCs w:val="32"/>
          <w:highlight w:val="none"/>
          <w:u w:val="none"/>
        </w:rPr>
        <w:t>坚持以习近平新时代中国特色社会主义思想为指导，深入贯彻落实党的二十大和二十届历次全会精神，贯彻落实习近平总书记考察湖北重要讲话和关于供销合作社工作重要指示批示精神，锚定“确保支点建设取得决定性进展”的目标，聚焦推进高质量发展、高品质生活、高水平开放、高效能治理、高水平安全，坚持从服务“三农”工作大局出发，扎根农业农村，聚焦主责主业，深化综合改革，强化机制创新，持续打造服务农民生产生活和促进现代农业发展的综合平台，当好党和政府密切联系农民群众的桥梁纽带，为湖北加快实现农业农村现代化、推进乡村全面振兴作出更大贡献。</w:t>
      </w:r>
    </w:p>
    <w:p w14:paraId="6172A0AD">
      <w:pPr>
        <w:pStyle w:val="4"/>
        <w:bidi w:val="0"/>
        <w:rPr>
          <w:rFonts w:hint="eastAsia"/>
        </w:rPr>
      </w:pPr>
      <w:bookmarkStart w:id="14" w:name="_Toc32492"/>
      <w:r>
        <w:rPr>
          <w:rFonts w:hint="eastAsia"/>
        </w:rPr>
        <w:t>（二）基本原则</w:t>
      </w:r>
      <w:bookmarkEnd w:id="12"/>
      <w:bookmarkEnd w:id="13"/>
      <w:bookmarkEnd w:id="14"/>
      <w:bookmarkStart w:id="15" w:name="_Toc11709"/>
      <w:bookmarkStart w:id="16" w:name="_Toc20972"/>
    </w:p>
    <w:p w14:paraId="03467727">
      <w:pPr>
        <w:keepNext w:val="0"/>
        <w:keepLines w:val="0"/>
        <w:pageBreakBefore w:val="0"/>
        <w:wordWrap/>
        <w:overflowPunct/>
        <w:topLinePunct w:val="0"/>
        <w:bidi w:val="0"/>
        <w:adjustRightInd/>
        <w:snapToGrid/>
        <w:spacing w:line="240" w:lineRule="auto"/>
        <w:ind w:firstLine="643" w:firstLineChars="200"/>
        <w:jc w:val="both"/>
        <w:rPr>
          <w:rFonts w:hint="eastAsia" w:ascii="仿宋" w:hAnsi="仿宋" w:eastAsia="仿宋" w:cs="仿宋"/>
          <w:sz w:val="32"/>
          <w:szCs w:val="32"/>
          <w:highlight w:val="none"/>
          <w:u w:val="none"/>
        </w:rPr>
      </w:pPr>
      <w:r>
        <w:rPr>
          <w:rFonts w:hint="eastAsia" w:ascii="仿宋" w:hAnsi="仿宋" w:eastAsia="仿宋" w:cs="仿宋"/>
          <w:b/>
          <w:bCs/>
          <w:sz w:val="32"/>
          <w:szCs w:val="32"/>
          <w:highlight w:val="none"/>
          <w:u w:val="none"/>
        </w:rPr>
        <w:t>——坚持党的全面领导。</w:t>
      </w:r>
      <w:r>
        <w:rPr>
          <w:rFonts w:hint="eastAsia" w:ascii="仿宋" w:hAnsi="仿宋" w:eastAsia="仿宋" w:cs="仿宋"/>
          <w:sz w:val="32"/>
          <w:szCs w:val="32"/>
          <w:highlight w:val="none"/>
          <w:u w:val="none"/>
        </w:rPr>
        <w:t>党的领导是供销社最本质的特征。必须坚决维护党中央权威和集中统一领导，将党的领导贯穿供销合作事业各方面全过程，坚持用习近平总书记关于供销合作社工作重要指示批示精神指引中国特色供销合作事业新航程，坚定不移听党话、跟党走，确保改革发展砥砺前行、行稳致远。</w:t>
      </w:r>
    </w:p>
    <w:p w14:paraId="2ED28CA6">
      <w:pPr>
        <w:keepNext w:val="0"/>
        <w:keepLines w:val="0"/>
        <w:pageBreakBefore w:val="0"/>
        <w:wordWrap/>
        <w:overflowPunct/>
        <w:topLinePunct w:val="0"/>
        <w:bidi w:val="0"/>
        <w:adjustRightInd/>
        <w:snapToGrid/>
        <w:spacing w:line="240" w:lineRule="auto"/>
        <w:ind w:firstLine="643" w:firstLineChars="200"/>
        <w:jc w:val="both"/>
        <w:rPr>
          <w:rFonts w:hint="eastAsia" w:ascii="仿宋" w:hAnsi="仿宋" w:eastAsia="仿宋" w:cs="仿宋"/>
          <w:sz w:val="32"/>
          <w:szCs w:val="32"/>
          <w:highlight w:val="none"/>
          <w:u w:val="none"/>
        </w:rPr>
      </w:pPr>
      <w:r>
        <w:rPr>
          <w:rFonts w:hint="eastAsia" w:ascii="仿宋" w:hAnsi="仿宋" w:eastAsia="仿宋" w:cs="仿宋"/>
          <w:b/>
          <w:bCs/>
          <w:sz w:val="32"/>
          <w:szCs w:val="32"/>
          <w:highlight w:val="none"/>
          <w:u w:val="none"/>
        </w:rPr>
        <w:t>——坚持为农服务根本宗旨。</w:t>
      </w:r>
      <w:r>
        <w:rPr>
          <w:rFonts w:hint="eastAsia" w:ascii="仿宋" w:hAnsi="仿宋" w:eastAsia="仿宋" w:cs="仿宋"/>
          <w:sz w:val="32"/>
          <w:szCs w:val="32"/>
          <w:highlight w:val="none"/>
          <w:u w:val="none"/>
        </w:rPr>
        <w:t>坚守“为农、务农、姓农”定位，把为农服务作为立身之本、生存之基、振兴之源。聚焦“三农”主业，在为农服务中拓展发展空间，将服务成效作为衡量工作的首要标准，不断完善为农服务功能，健全联农带农机制，提升农民群众的获得感、认同感。</w:t>
      </w:r>
    </w:p>
    <w:p w14:paraId="18A7E503">
      <w:pPr>
        <w:keepNext w:val="0"/>
        <w:keepLines w:val="0"/>
        <w:pageBreakBefore w:val="0"/>
        <w:wordWrap/>
        <w:overflowPunct/>
        <w:topLinePunct w:val="0"/>
        <w:bidi w:val="0"/>
        <w:adjustRightInd/>
        <w:snapToGrid/>
        <w:spacing w:line="240" w:lineRule="auto"/>
        <w:ind w:firstLine="643" w:firstLineChars="200"/>
        <w:jc w:val="both"/>
        <w:rPr>
          <w:rFonts w:hint="eastAsia" w:ascii="仿宋" w:hAnsi="仿宋" w:eastAsia="仿宋" w:cs="仿宋"/>
          <w:sz w:val="32"/>
          <w:szCs w:val="32"/>
          <w:highlight w:val="none"/>
          <w:u w:val="none"/>
        </w:rPr>
      </w:pPr>
      <w:r>
        <w:rPr>
          <w:rFonts w:hint="eastAsia" w:ascii="仿宋" w:hAnsi="仿宋" w:eastAsia="仿宋" w:cs="仿宋"/>
          <w:b/>
          <w:bCs/>
          <w:sz w:val="32"/>
          <w:szCs w:val="32"/>
          <w:highlight w:val="none"/>
          <w:u w:val="none"/>
        </w:rPr>
        <w:t>——坚持高质量发展导向。</w:t>
      </w:r>
      <w:r>
        <w:rPr>
          <w:rFonts w:hint="eastAsia" w:ascii="仿宋" w:hAnsi="仿宋" w:eastAsia="仿宋" w:cs="仿宋"/>
          <w:sz w:val="32"/>
          <w:szCs w:val="32"/>
          <w:highlight w:val="none"/>
          <w:u w:val="none"/>
        </w:rPr>
        <w:t>以新发展理念引领，树牢“有所为有所不为”价值取向，在融入发展新质生产力、做强国内大循环、保障国家粮食安全等中心大局中找准立足点、切入点、着力点，优化经济结构，盘活存量、做优增量，实现发展质量、结构、能级、效益相统一。</w:t>
      </w:r>
    </w:p>
    <w:p w14:paraId="30B49DE9">
      <w:pPr>
        <w:keepNext w:val="0"/>
        <w:keepLines w:val="0"/>
        <w:pageBreakBefore w:val="0"/>
        <w:wordWrap/>
        <w:overflowPunct/>
        <w:topLinePunct w:val="0"/>
        <w:bidi w:val="0"/>
        <w:adjustRightInd/>
        <w:snapToGrid/>
        <w:spacing w:line="240" w:lineRule="auto"/>
        <w:ind w:firstLine="643" w:firstLineChars="200"/>
        <w:jc w:val="both"/>
        <w:rPr>
          <w:rFonts w:hint="eastAsia" w:ascii="仿宋" w:hAnsi="仿宋" w:eastAsia="仿宋" w:cs="仿宋"/>
          <w:sz w:val="32"/>
          <w:szCs w:val="32"/>
          <w:highlight w:val="none"/>
          <w:u w:val="none"/>
        </w:rPr>
      </w:pPr>
      <w:r>
        <w:rPr>
          <w:rFonts w:hint="eastAsia" w:ascii="仿宋" w:hAnsi="仿宋" w:eastAsia="仿宋" w:cs="仿宋"/>
          <w:b/>
          <w:bCs/>
          <w:sz w:val="32"/>
          <w:szCs w:val="32"/>
          <w:highlight w:val="none"/>
          <w:u w:val="none"/>
        </w:rPr>
        <w:t>——坚持全面深化综合改革。</w:t>
      </w:r>
      <w:r>
        <w:rPr>
          <w:rFonts w:hint="eastAsia" w:ascii="仿宋" w:hAnsi="仿宋" w:eastAsia="仿宋" w:cs="仿宋"/>
          <w:sz w:val="32"/>
          <w:szCs w:val="32"/>
          <w:highlight w:val="none"/>
          <w:u w:val="none"/>
        </w:rPr>
        <w:t>以深化综合改革为根本动力，紧扣 “三新一高” 要求，推动发展方式向创新驱动转型，加快组织、服务、产品、技术和商业模式创新，改造供销组织，优化供销服务，构建市场化运行高效的合作经济组织体系。推进供销系统高水平对外开放，会用改革思路，激活市场力量，扩大朋友圈、合作圈、工作圈。</w:t>
      </w:r>
    </w:p>
    <w:p w14:paraId="009A6B25">
      <w:pPr>
        <w:keepNext w:val="0"/>
        <w:keepLines w:val="0"/>
        <w:pageBreakBefore w:val="0"/>
        <w:wordWrap/>
        <w:overflowPunct/>
        <w:topLinePunct w:val="0"/>
        <w:bidi w:val="0"/>
        <w:adjustRightInd/>
        <w:snapToGrid/>
        <w:spacing w:line="240" w:lineRule="auto"/>
        <w:ind w:firstLine="643" w:firstLineChars="200"/>
        <w:jc w:val="both"/>
        <w:rPr>
          <w:rFonts w:hint="eastAsia" w:ascii="仿宋" w:hAnsi="仿宋" w:eastAsia="仿宋" w:cs="仿宋"/>
          <w:sz w:val="32"/>
          <w:szCs w:val="32"/>
          <w:highlight w:val="none"/>
          <w:u w:val="none"/>
        </w:rPr>
      </w:pPr>
      <w:r>
        <w:rPr>
          <w:rFonts w:hint="eastAsia" w:ascii="仿宋" w:hAnsi="仿宋" w:eastAsia="仿宋" w:cs="仿宋"/>
          <w:b/>
          <w:bCs/>
          <w:sz w:val="32"/>
          <w:szCs w:val="32"/>
          <w:highlight w:val="none"/>
          <w:u w:val="none"/>
        </w:rPr>
        <w:t>——坚持统筹发展和安全。</w:t>
      </w:r>
      <w:r>
        <w:rPr>
          <w:rFonts w:hint="eastAsia" w:ascii="仿宋" w:hAnsi="仿宋" w:eastAsia="仿宋" w:cs="仿宋"/>
          <w:sz w:val="32"/>
          <w:szCs w:val="32"/>
          <w:highlight w:val="none"/>
          <w:u w:val="none"/>
        </w:rPr>
        <w:t>在发展中固安全、在安全中谋发展。强化全局性谋划和整体性推进，坚持全省系统一盘棋，统筹协调各方资源，补齐发展短板，防范化解重大风险，以安全稳定的发展环境支撑供销合作事业行稳致远。</w:t>
      </w:r>
    </w:p>
    <w:p w14:paraId="16FC1493">
      <w:pPr>
        <w:pStyle w:val="4"/>
        <w:bidi w:val="0"/>
        <w:ind w:firstLine="880"/>
        <w:rPr>
          <w:rFonts w:hint="eastAsia" w:ascii="Arial" w:hAnsi="Arial"/>
          <w:b w:val="0"/>
          <w:lang w:eastAsia="zh-CN"/>
        </w:rPr>
      </w:pPr>
      <w:bookmarkStart w:id="17" w:name="_Toc26841"/>
      <w:r>
        <w:rPr>
          <w:rFonts w:hint="eastAsia" w:ascii="Arial" w:hAnsi="Arial"/>
          <w:b w:val="0"/>
          <w:lang w:eastAsia="zh-CN"/>
        </w:rPr>
        <w:t>（三）奋斗目标</w:t>
      </w:r>
      <w:bookmarkEnd w:id="15"/>
      <w:bookmarkEnd w:id="16"/>
      <w:bookmarkEnd w:id="17"/>
    </w:p>
    <w:p w14:paraId="673ED35D">
      <w:pPr>
        <w:pStyle w:val="7"/>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auto"/>
        <w:rPr>
          <w:rFonts w:hint="eastAsia" w:ascii="仿宋" w:hAnsi="仿宋" w:eastAsia="仿宋" w:cs="仿宋"/>
          <w:b w:val="0"/>
          <w:bCs w:val="0"/>
          <w:kern w:val="2"/>
          <w:sz w:val="32"/>
          <w:szCs w:val="32"/>
          <w:highlight w:val="none"/>
          <w:u w:val="none"/>
          <w:lang w:val="en-US" w:eastAsia="zh-CN" w:bidi="ar-SA"/>
        </w:rPr>
      </w:pPr>
      <w:r>
        <w:rPr>
          <w:rFonts w:hint="eastAsia" w:ascii="仿宋" w:hAnsi="仿宋" w:eastAsia="仿宋" w:cs="仿宋"/>
          <w:b/>
          <w:bCs/>
          <w:sz w:val="32"/>
          <w:szCs w:val="32"/>
          <w:highlight w:val="none"/>
          <w:u w:val="none"/>
        </w:rPr>
        <w:t>——“十五五”时期重点任务：</w:t>
      </w:r>
      <w:r>
        <w:rPr>
          <w:rFonts w:hint="eastAsia" w:ascii="楷体" w:hAnsi="楷体" w:eastAsia="楷体" w:cs="楷体"/>
          <w:b/>
          <w:bCs/>
          <w:kern w:val="2"/>
          <w:sz w:val="32"/>
          <w:szCs w:val="32"/>
          <w:highlight w:val="none"/>
          <w:u w:val="none"/>
          <w:lang w:val="en-US" w:eastAsia="zh-CN" w:bidi="ar-SA"/>
        </w:rPr>
        <w:t>坚守政治任务。</w:t>
      </w:r>
      <w:r>
        <w:rPr>
          <w:rFonts w:hint="eastAsia" w:ascii="仿宋" w:hAnsi="仿宋" w:eastAsia="仿宋" w:cs="仿宋"/>
          <w:b w:val="0"/>
          <w:bCs w:val="0"/>
          <w:kern w:val="2"/>
          <w:sz w:val="32"/>
          <w:szCs w:val="32"/>
          <w:highlight w:val="none"/>
          <w:u w:val="none"/>
          <w:lang w:val="en-US" w:eastAsia="zh-CN" w:bidi="ar-SA"/>
        </w:rPr>
        <w:t>供销合作社是党领导下的为农服务综合性合作经济组织，必须始终坚持其鲜明政治属性，自觉担当党和政府做好“三农”工作的重要载体。要持续将自身打造成为服务农民生产生活、促进现代农业发展的综合平台，切实发挥好党和政府密切联系农民群众的桥梁纽带作用，为巩固党在农村的执政基础提供坚实支撑。</w:t>
      </w:r>
      <w:r>
        <w:rPr>
          <w:rFonts w:hint="eastAsia" w:ascii="楷体" w:hAnsi="楷体" w:eastAsia="楷体" w:cs="楷体"/>
          <w:b/>
          <w:bCs/>
          <w:kern w:val="2"/>
          <w:sz w:val="32"/>
          <w:szCs w:val="32"/>
          <w:highlight w:val="none"/>
          <w:u w:val="none"/>
          <w:lang w:val="en-US" w:eastAsia="zh-CN" w:bidi="ar-SA"/>
        </w:rPr>
        <w:t>承接历史任务。</w:t>
      </w:r>
      <w:r>
        <w:rPr>
          <w:rFonts w:hint="eastAsia" w:ascii="仿宋" w:hAnsi="仿宋" w:eastAsia="仿宋" w:cs="仿宋"/>
          <w:b w:val="0"/>
          <w:bCs w:val="0"/>
          <w:kern w:val="2"/>
          <w:sz w:val="32"/>
          <w:szCs w:val="32"/>
          <w:highlight w:val="none"/>
          <w:u w:val="none"/>
          <w:lang w:val="en-US" w:eastAsia="zh-CN" w:bidi="ar-SA"/>
        </w:rPr>
        <w:t>深刻把握我国社会主要矛盾变化与“三农”需求的深刻变迁，供销合作社必须加速从传统商品供给者，向推动一二三产业融合、服务城乡协调发展的综合服务提供者转型。要立足“工农互促、城乡互补”，以供应链思维重塑为农服务体系，促进城乡要素高效流动与资源优化配置，在服务构建新型工农城乡关系的历史进程中，切实发挥好供销合作社不可替代的重要作用。</w:t>
      </w:r>
      <w:r>
        <w:rPr>
          <w:rFonts w:hint="eastAsia" w:ascii="楷体" w:hAnsi="楷体" w:eastAsia="楷体" w:cs="楷体"/>
          <w:b/>
          <w:bCs/>
          <w:kern w:val="2"/>
          <w:sz w:val="32"/>
          <w:szCs w:val="32"/>
          <w:highlight w:val="none"/>
          <w:u w:val="none"/>
          <w:lang w:val="en-US" w:eastAsia="zh-CN" w:bidi="ar-SA"/>
        </w:rPr>
        <w:t>聚焦战略任务。</w:t>
      </w:r>
      <w:r>
        <w:rPr>
          <w:rFonts w:hint="eastAsia" w:ascii="仿宋" w:hAnsi="仿宋" w:eastAsia="仿宋" w:cs="仿宋"/>
          <w:b w:val="0"/>
          <w:bCs w:val="0"/>
          <w:kern w:val="2"/>
          <w:sz w:val="32"/>
          <w:szCs w:val="32"/>
          <w:highlight w:val="none"/>
          <w:u w:val="none"/>
          <w:lang w:val="en-US" w:eastAsia="zh-CN" w:bidi="ar-SA"/>
        </w:rPr>
        <w:t>服务农业现代化与乡村振兴国家战略，必须把加快打造覆盖全程、综合配套、便捷高效的现代为农服务体系作为中心任务，核心是锻造三大关键能力：稳价保供的调控能力，筑牢粮食安全基石；全程覆盖的社会化服务能力，担当现代农业引擎；高效便捷的流通服务能力，畅通城乡经济血脉。同时，必须将基层组织打造为能力落地的战略支点，推动人才、资金、服务等资源持续向基层倾斜，通过模式创新和联合合作，扎实推进基层社的改造升级与规范发展，真正将其打造成为组织农民、服务产业、扎根乡村的中坚力量。</w:t>
      </w:r>
      <w:r>
        <w:rPr>
          <w:rFonts w:hint="eastAsia" w:ascii="楷体" w:hAnsi="楷体" w:eastAsia="楷体" w:cs="楷体"/>
          <w:b/>
          <w:bCs/>
          <w:kern w:val="2"/>
          <w:sz w:val="32"/>
          <w:szCs w:val="32"/>
          <w:highlight w:val="none"/>
          <w:u w:val="none"/>
          <w:lang w:val="en-US" w:eastAsia="zh-CN" w:bidi="ar-SA"/>
        </w:rPr>
        <w:t>夯实现实任务。</w:t>
      </w:r>
      <w:r>
        <w:rPr>
          <w:rFonts w:hint="eastAsia" w:ascii="仿宋" w:hAnsi="仿宋" w:eastAsia="仿宋" w:cs="仿宋"/>
          <w:b w:val="0"/>
          <w:bCs w:val="0"/>
          <w:kern w:val="2"/>
          <w:sz w:val="32"/>
          <w:szCs w:val="32"/>
          <w:highlight w:val="none"/>
          <w:u w:val="none"/>
          <w:lang w:val="en-US" w:eastAsia="zh-CN" w:bidi="ar-SA"/>
        </w:rPr>
        <w:t>立足促进农民增收、保障城市供应的最前线</w:t>
      </w:r>
      <w:r>
        <w:rPr>
          <w:rFonts w:hint="eastAsia" w:ascii="楷体" w:hAnsi="楷体" w:eastAsia="楷体" w:cs="楷体"/>
          <w:b/>
          <w:bCs/>
          <w:kern w:val="2"/>
          <w:sz w:val="32"/>
          <w:szCs w:val="32"/>
          <w:highlight w:val="none"/>
          <w:u w:val="none"/>
          <w:lang w:val="en-US" w:eastAsia="zh-CN" w:bidi="ar-SA"/>
        </w:rPr>
        <w:t>，</w:t>
      </w:r>
      <w:r>
        <w:rPr>
          <w:rFonts w:hint="eastAsia" w:ascii="仿宋" w:hAnsi="仿宋" w:eastAsia="仿宋" w:cs="仿宋"/>
          <w:b w:val="0"/>
          <w:bCs w:val="0"/>
          <w:kern w:val="2"/>
          <w:sz w:val="32"/>
          <w:szCs w:val="32"/>
          <w:highlight w:val="none"/>
          <w:u w:val="none"/>
          <w:lang w:val="en-US" w:eastAsia="zh-CN" w:bidi="ar-SA"/>
        </w:rPr>
        <w:t>供销合作社必须全力发挥“一头连农田、一头通市场”的双向主渠道作用。核心是聚焦“卖难”与“种好、供稳”两大现实课题精准发力：一是畅通上行渠道，通过完善利益联结、构建融合产销网络、运营好“供销集市”、培育地域品牌，让农民更多分享产业增值收益；二是筑牢下行网络，依托县域—乡镇—村级保供体系，健全预警调度机制，提升重要农资与民生商品的储备调运能力，确保平时高效、急时有力。以此在稳市场、惠民生中，坚决扛起“国家队”的职责担当。</w:t>
      </w:r>
    </w:p>
    <w:p w14:paraId="65F37ED6">
      <w:pPr>
        <w:pStyle w:val="7"/>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auto"/>
        <w:rPr>
          <w:rFonts w:hint="eastAsia" w:ascii="仿宋" w:hAnsi="仿宋" w:eastAsia="仿宋" w:cs="仿宋"/>
          <w:sz w:val="32"/>
          <w:szCs w:val="32"/>
          <w:highlight w:val="none"/>
          <w:u w:val="none"/>
          <w:lang w:val="en-US" w:eastAsia="zh-CN"/>
        </w:rPr>
      </w:pPr>
      <w:r>
        <w:rPr>
          <w:rFonts w:hint="eastAsia" w:ascii="仿宋" w:hAnsi="仿宋" w:eastAsia="仿宋" w:cs="仿宋"/>
          <w:b/>
          <w:bCs/>
          <w:sz w:val="32"/>
          <w:szCs w:val="32"/>
          <w:highlight w:val="none"/>
          <w:u w:val="none"/>
        </w:rPr>
        <w:t>——“十五五”时期</w:t>
      </w:r>
      <w:r>
        <w:rPr>
          <w:rFonts w:hint="eastAsia" w:ascii="仿宋" w:hAnsi="仿宋" w:eastAsia="仿宋" w:cs="仿宋"/>
          <w:b/>
          <w:bCs/>
          <w:sz w:val="32"/>
          <w:szCs w:val="32"/>
          <w:highlight w:val="none"/>
          <w:u w:val="none"/>
          <w:lang w:val="en-US" w:eastAsia="zh-CN"/>
        </w:rPr>
        <w:t>奋斗目标</w:t>
      </w:r>
      <w:r>
        <w:rPr>
          <w:rFonts w:hint="eastAsia" w:ascii="仿宋" w:hAnsi="仿宋" w:eastAsia="仿宋" w:cs="仿宋"/>
          <w:b/>
          <w:bCs/>
          <w:sz w:val="32"/>
          <w:szCs w:val="32"/>
          <w:highlight w:val="none"/>
          <w:u w:val="none"/>
        </w:rPr>
        <w:t>：</w:t>
      </w:r>
      <w:r>
        <w:rPr>
          <w:rFonts w:hint="eastAsia" w:ascii="仿宋" w:hAnsi="仿宋" w:eastAsia="仿宋" w:cs="仿宋"/>
          <w:sz w:val="32"/>
          <w:szCs w:val="32"/>
          <w:highlight w:val="none"/>
          <w:u w:val="none"/>
        </w:rPr>
        <w:t>到2030年，全市供销合作社高质量发展取得显著成效，与鄂州城乡融合发展相适应的综合性、可持续为农服务体系基本建成；主责主业优势更加突出，在农资稳价保供、农业社会化服务、农产品流通销售、再生资源回收利用等方面的区域骨干作用充分彰显；基层社服务功能更加完备，与农民利益联结更加紧密，实现农民得实惠、基层社得发展的双赢；联合社治理效能显著提升，行业指导与经营服务协同发展的双线运行机制顺畅高效；社有企业改革深化推进，市场竞争力和为农服务带动力明显增强。经过五年改革发展，全市供销合作社系统经营服务总额实现稳步增长，综合实力和服务能力迈上新台阶，在服务全市乡村振兴和城乡融合发展大局中的作用更加凸显、贡献更加突出。</w:t>
      </w:r>
      <w:r>
        <w:rPr>
          <w:rFonts w:hint="eastAsia" w:ascii="仿宋" w:hAnsi="仿宋" w:eastAsia="仿宋" w:cs="仿宋"/>
          <w:sz w:val="32"/>
          <w:szCs w:val="32"/>
          <w:highlight w:val="none"/>
          <w:u w:val="none"/>
          <w:lang w:val="en-US" w:eastAsia="zh-CN"/>
        </w:rPr>
        <w:t>经过五年改革发展，经过五年改革发展，全市供销系统销售总额稳定在百亿元以上，全员劳动生产率、净资产收益率、营业现金比率、资产负债率、三项费用率得到明显改善优化。</w:t>
      </w:r>
    </w:p>
    <w:p w14:paraId="2DB3FF68">
      <w:pPr>
        <w:pStyle w:val="7"/>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auto"/>
        <w:rPr>
          <w:rFonts w:hint="eastAsia" w:ascii="仿宋" w:hAnsi="仿宋" w:eastAsia="仿宋" w:cs="仿宋"/>
          <w:kern w:val="2"/>
          <w:sz w:val="32"/>
          <w:szCs w:val="32"/>
          <w:highlight w:val="none"/>
          <w:u w:val="none"/>
          <w:lang w:val="en-US" w:eastAsia="zh-CN" w:bidi="ar-SA"/>
        </w:rPr>
      </w:pPr>
      <w:r>
        <w:rPr>
          <w:rFonts w:hint="eastAsia" w:ascii="仿宋" w:hAnsi="仿宋" w:eastAsia="仿宋" w:cs="仿宋"/>
          <w:b/>
          <w:bCs/>
          <w:kern w:val="2"/>
          <w:sz w:val="32"/>
          <w:szCs w:val="32"/>
          <w:highlight w:val="none"/>
          <w:u w:val="none"/>
          <w:lang w:val="en-US" w:eastAsia="zh-CN" w:bidi="ar-SA"/>
        </w:rPr>
        <w:t>主要指标:</w:t>
      </w:r>
    </w:p>
    <w:p w14:paraId="47845B13">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 w:hAnsi="仿宋" w:eastAsia="仿宋" w:cs="仿宋"/>
          <w:kern w:val="2"/>
          <w:sz w:val="32"/>
          <w:szCs w:val="32"/>
          <w:highlight w:val="none"/>
          <w:u w:val="none"/>
          <w:lang w:val="en-US" w:eastAsia="zh-CN" w:bidi="ar-SA"/>
        </w:rPr>
      </w:pPr>
      <w:r>
        <w:rPr>
          <w:rFonts w:hint="eastAsia" w:ascii="仿宋" w:hAnsi="仿宋" w:eastAsia="仿宋" w:cs="仿宋"/>
          <w:kern w:val="2"/>
          <w:sz w:val="32"/>
          <w:szCs w:val="32"/>
          <w:highlight w:val="none"/>
          <w:u w:val="none"/>
          <w:lang w:val="en-US" w:eastAsia="zh-CN" w:bidi="ar-SA"/>
        </w:rPr>
        <w:t>销售总额:年均增长5%。</w:t>
      </w:r>
    </w:p>
    <w:p w14:paraId="197AB580">
      <w:pPr>
        <w:pStyle w:val="7"/>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 w:hAnsi="仿宋" w:eastAsia="仿宋" w:cs="仿宋"/>
          <w:sz w:val="32"/>
          <w:szCs w:val="32"/>
          <w:highlight w:val="none"/>
          <w:u w:val="none"/>
          <w:lang w:val="en-US" w:eastAsia="zh-CN"/>
        </w:rPr>
      </w:pPr>
      <w:r>
        <w:rPr>
          <w:rFonts w:hint="eastAsia" w:ascii="仿宋" w:hAnsi="仿宋" w:eastAsia="仿宋" w:cs="仿宋"/>
          <w:sz w:val="32"/>
          <w:szCs w:val="32"/>
          <w:highlight w:val="none"/>
          <w:u w:val="none"/>
          <w:lang w:val="en-US" w:eastAsia="zh-CN"/>
        </w:rPr>
        <w:t>社有企业营业收入：年均增长率1.01%。</w:t>
      </w:r>
    </w:p>
    <w:p w14:paraId="6BD17716">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 w:hAnsi="仿宋" w:eastAsia="仿宋" w:cs="仿宋"/>
          <w:sz w:val="32"/>
          <w:szCs w:val="32"/>
          <w:highlight w:val="none"/>
          <w:u w:val="none"/>
          <w:lang w:val="en-US" w:eastAsia="zh-CN"/>
        </w:rPr>
      </w:pPr>
      <w:r>
        <w:rPr>
          <w:rFonts w:hint="eastAsia" w:ascii="仿宋" w:hAnsi="仿宋" w:eastAsia="仿宋" w:cs="仿宋"/>
          <w:sz w:val="32"/>
          <w:szCs w:val="32"/>
          <w:highlight w:val="none"/>
          <w:u w:val="none"/>
          <w:lang w:val="en-US" w:eastAsia="zh-CN"/>
        </w:rPr>
        <w:t>利润总额：年均增长率1%。</w:t>
      </w:r>
    </w:p>
    <w:p w14:paraId="47FB6A3D">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 w:hAnsi="仿宋" w:eastAsia="仿宋" w:cs="仿宋"/>
          <w:kern w:val="2"/>
          <w:sz w:val="32"/>
          <w:szCs w:val="32"/>
          <w:highlight w:val="none"/>
          <w:u w:val="none"/>
          <w:lang w:val="en-US" w:eastAsia="zh-CN" w:bidi="ar-SA"/>
        </w:rPr>
      </w:pPr>
      <w:r>
        <w:rPr>
          <w:rFonts w:hint="eastAsia" w:ascii="仿宋" w:hAnsi="仿宋" w:eastAsia="仿宋" w:cs="仿宋"/>
          <w:kern w:val="2"/>
          <w:sz w:val="32"/>
          <w:szCs w:val="32"/>
          <w:highlight w:val="none"/>
          <w:u w:val="none"/>
          <w:lang w:val="en-US" w:eastAsia="zh-CN" w:bidi="ar-SA"/>
        </w:rPr>
        <w:t>农资供应:全市供销农资市场占有率增长到70%。</w:t>
      </w:r>
    </w:p>
    <w:p w14:paraId="69B05B66">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 w:hAnsi="仿宋" w:eastAsia="仿宋" w:cs="仿宋"/>
          <w:kern w:val="2"/>
          <w:sz w:val="32"/>
          <w:szCs w:val="32"/>
          <w:highlight w:val="none"/>
          <w:u w:val="none"/>
          <w:lang w:val="en-US" w:eastAsia="zh-CN" w:bidi="ar-SA"/>
        </w:rPr>
      </w:pPr>
      <w:r>
        <w:rPr>
          <w:rFonts w:hint="eastAsia" w:ascii="仿宋" w:hAnsi="仿宋" w:eastAsia="仿宋" w:cs="仿宋"/>
          <w:kern w:val="2"/>
          <w:sz w:val="32"/>
          <w:szCs w:val="32"/>
          <w:highlight w:val="none"/>
          <w:u w:val="none"/>
          <w:lang w:val="en-US" w:eastAsia="zh-CN" w:bidi="ar-SA"/>
        </w:rPr>
        <w:t>农业社会化服务:争取中央财政支持供销合作社农业社会化服务项目资金和任务量，全资、控股企业服务规模从 7.38 万亩次增加到9万亩次。</w:t>
      </w:r>
    </w:p>
    <w:p w14:paraId="7D3FE602">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 w:hAnsi="仿宋" w:eastAsia="仿宋" w:cs="仿宋"/>
          <w:kern w:val="2"/>
          <w:sz w:val="32"/>
          <w:szCs w:val="32"/>
          <w:highlight w:val="none"/>
          <w:u w:val="none"/>
          <w:lang w:val="en-US" w:eastAsia="zh-CN" w:bidi="ar-SA"/>
        </w:rPr>
      </w:pPr>
      <w:r>
        <w:rPr>
          <w:rFonts w:hint="eastAsia" w:ascii="仿宋" w:hAnsi="仿宋" w:eastAsia="仿宋" w:cs="仿宋"/>
          <w:kern w:val="2"/>
          <w:sz w:val="32"/>
          <w:szCs w:val="32"/>
          <w:highlight w:val="none"/>
          <w:u w:val="none"/>
          <w:lang w:val="en-US" w:eastAsia="zh-CN" w:bidi="ar-SA"/>
        </w:rPr>
        <w:t>农产品上行:持续推进流通网络体系建设，升级改造农产品市场，不断发展农村电商，创新消费场景、消费模式、消费业态，促进农产品上行，农产品销售额从8.87亿元增加到9.5亿元。</w:t>
      </w:r>
    </w:p>
    <w:p w14:paraId="7DFE7B08">
      <w:pPr>
        <w:pStyle w:val="3"/>
        <w:bidi w:val="0"/>
        <w:rPr>
          <w:rFonts w:hint="eastAsia" w:ascii="黑体" w:hAnsi="黑体" w:eastAsia="黑体" w:cs="黑体"/>
          <w:b w:val="0"/>
          <w:bCs w:val="0"/>
          <w:sz w:val="32"/>
          <w:szCs w:val="32"/>
          <w:highlight w:val="none"/>
          <w:u w:val="none"/>
          <w:lang w:val="en-US" w:eastAsia="zh-CN"/>
        </w:rPr>
      </w:pPr>
      <w:bookmarkStart w:id="18" w:name="_Toc18406"/>
      <w:r>
        <w:rPr>
          <w:rFonts w:hint="eastAsia" w:ascii="黑体" w:hAnsi="黑体" w:eastAsia="黑体" w:cs="黑体"/>
          <w:b w:val="0"/>
          <w:bCs w:val="0"/>
          <w:color w:val="000000"/>
          <w:sz w:val="32"/>
          <w:szCs w:val="32"/>
          <w:highlight w:val="none"/>
          <w:u w:val="none"/>
          <w:lang w:val="en-US" w:eastAsia="zh-CN"/>
        </w:rPr>
        <w:t>四、坚持提质增效、向新向优，</w:t>
      </w:r>
      <w:r>
        <w:rPr>
          <w:rFonts w:hint="eastAsia" w:ascii="黑体" w:hAnsi="黑体" w:eastAsia="黑体" w:cs="黑体"/>
          <w:b w:val="0"/>
          <w:bCs w:val="0"/>
          <w:sz w:val="32"/>
          <w:szCs w:val="32"/>
          <w:highlight w:val="none"/>
          <w:u w:val="none"/>
          <w:lang w:val="en-US" w:eastAsia="zh-CN"/>
        </w:rPr>
        <w:t>提升供销经济“含金量”</w:t>
      </w:r>
      <w:bookmarkEnd w:id="18"/>
    </w:p>
    <w:p w14:paraId="7F8651DD">
      <w:pPr>
        <w:pStyle w:val="4"/>
        <w:bidi w:val="0"/>
        <w:ind w:firstLine="880"/>
        <w:rPr>
          <w:rFonts w:hint="eastAsia" w:ascii="Arial" w:hAnsi="Arial"/>
          <w:b w:val="0"/>
          <w:lang w:val="en-US" w:eastAsia="zh-CN"/>
        </w:rPr>
      </w:pPr>
      <w:bookmarkStart w:id="19" w:name="_Toc28018"/>
      <w:r>
        <w:rPr>
          <w:rFonts w:hint="eastAsia" w:ascii="Arial" w:hAnsi="Arial"/>
          <w:b w:val="0"/>
          <w:lang w:val="en-US" w:eastAsia="zh-CN"/>
        </w:rPr>
        <w:t>（一）任务目标</w:t>
      </w:r>
      <w:bookmarkEnd w:id="19"/>
    </w:p>
    <w:p w14:paraId="180964A1">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640" w:firstLineChars="200"/>
        <w:jc w:val="both"/>
        <w:textAlignment w:val="auto"/>
        <w:rPr>
          <w:rFonts w:hint="eastAsia" w:ascii="仿宋_GB2312" w:hAnsi="仿宋_GB2312" w:eastAsia="仿宋_GB2312" w:cs="仿宋_GB2312"/>
          <w:b w:val="0"/>
          <w:bCs w:val="0"/>
          <w:sz w:val="32"/>
          <w:szCs w:val="32"/>
          <w:highlight w:val="none"/>
          <w:u w:val="none"/>
          <w:lang w:val="en-US" w:eastAsia="zh-CN"/>
        </w:rPr>
      </w:pPr>
      <w:r>
        <w:rPr>
          <w:rFonts w:hint="eastAsia" w:ascii="仿宋" w:hAnsi="仿宋" w:eastAsia="仿宋" w:cs="仿宋"/>
          <w:b w:val="0"/>
          <w:bCs w:val="0"/>
          <w:sz w:val="32"/>
          <w:szCs w:val="32"/>
          <w:highlight w:val="none"/>
          <w:u w:val="none"/>
          <w:lang w:val="en-US" w:eastAsia="zh-CN"/>
        </w:rPr>
        <w:t>坚定不移推进全市供销系统经济总量能级跨越，实施项目建设扩量提质。以提高社有企业为农服务能力和综合实力为根本，以提高经济发展质量和效益为中心，以“培育新动能、重大项目投资”为重点，坚持“改旧、扬长、育新”并重，巩固提升供销传统产业。在优化结构的基础上，稳步扩大经营服务规模和经济总量。以科技创新和数字化转型为引领，培育发展新动能，推动供销系统产业结构优化和服务模式创新，走出一条内涵式、可持续的高质量发展道路。多渠道拓宽农产品营销渠道，扩大供销产品的知名度和平台服务能力，带动上游以销定产、下游以质取胜，初步建成产、供、销全产业链。</w:t>
      </w:r>
    </w:p>
    <w:p w14:paraId="34B6F0DF">
      <w:pPr>
        <w:pStyle w:val="4"/>
        <w:bidi w:val="0"/>
        <w:ind w:firstLine="880"/>
        <w:rPr>
          <w:rFonts w:hint="eastAsia" w:ascii="Arial" w:hAnsi="Arial"/>
          <w:b w:val="0"/>
          <w:lang w:val="en-US" w:eastAsia="zh-CN"/>
        </w:rPr>
      </w:pPr>
      <w:bookmarkStart w:id="20" w:name="_Toc10536"/>
      <w:r>
        <w:rPr>
          <w:rFonts w:hint="eastAsia" w:ascii="Arial" w:hAnsi="Arial"/>
          <w:b w:val="0"/>
          <w:lang w:val="en-US" w:eastAsia="zh-CN"/>
        </w:rPr>
        <w:t>（二）分年度计划</w:t>
      </w:r>
      <w:bookmarkEnd w:id="20"/>
    </w:p>
    <w:p w14:paraId="29124B36">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640" w:firstLineChars="200"/>
        <w:jc w:val="both"/>
        <w:textAlignment w:val="auto"/>
        <w:rPr>
          <w:rFonts w:hint="eastAsia" w:ascii="仿宋" w:hAnsi="仿宋" w:eastAsia="仿宋" w:cs="仿宋"/>
          <w:b w:val="0"/>
          <w:bCs w:val="0"/>
          <w:sz w:val="32"/>
          <w:szCs w:val="32"/>
          <w:highlight w:val="none"/>
          <w:u w:val="none"/>
          <w:lang w:val="en-US" w:eastAsia="zh-CN"/>
        </w:rPr>
      </w:pPr>
      <w:r>
        <w:rPr>
          <w:rFonts w:hint="eastAsia" w:ascii="仿宋" w:hAnsi="仿宋" w:eastAsia="仿宋" w:cs="仿宋"/>
          <w:b w:val="0"/>
          <w:bCs w:val="0"/>
          <w:sz w:val="32"/>
          <w:szCs w:val="32"/>
          <w:highlight w:val="none"/>
          <w:u w:val="none"/>
          <w:lang w:val="en-US" w:eastAsia="zh-CN"/>
        </w:rPr>
        <w:t>2026年：启动“十五五”规划重点工程项目库建设，完成前期论证与立项。梳理系统内低效资产，制定提质增效与盘活方案。启动数字化转型顶层设计与试点。</w:t>
      </w:r>
    </w:p>
    <w:p w14:paraId="1EB10E76">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640" w:firstLineChars="200"/>
        <w:jc w:val="both"/>
        <w:textAlignment w:val="auto"/>
        <w:rPr>
          <w:rFonts w:hint="eastAsia" w:ascii="仿宋" w:hAnsi="仿宋" w:eastAsia="仿宋" w:cs="仿宋"/>
          <w:b w:val="0"/>
          <w:bCs w:val="0"/>
          <w:sz w:val="32"/>
          <w:szCs w:val="32"/>
          <w:highlight w:val="none"/>
          <w:u w:val="none"/>
          <w:lang w:val="en-US" w:eastAsia="zh-CN"/>
        </w:rPr>
      </w:pPr>
      <w:r>
        <w:rPr>
          <w:rFonts w:hint="eastAsia" w:ascii="仿宋" w:hAnsi="仿宋" w:eastAsia="仿宋" w:cs="仿宋"/>
          <w:b w:val="0"/>
          <w:bCs w:val="0"/>
          <w:sz w:val="32"/>
          <w:szCs w:val="32"/>
          <w:highlight w:val="none"/>
          <w:u w:val="none"/>
          <w:lang w:val="en-US" w:eastAsia="zh-CN"/>
        </w:rPr>
        <w:t>2027年：全面推进重大项目建设，实现一批项目开工或复工。农业社会化服务面积、电商销售额等关键指标实现稳步增长。推动系统内经营服务网点初步实现数据互联。</w:t>
      </w:r>
    </w:p>
    <w:p w14:paraId="69F43571">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640" w:firstLineChars="200"/>
        <w:jc w:val="both"/>
        <w:textAlignment w:val="auto"/>
        <w:rPr>
          <w:rFonts w:hint="eastAsia" w:ascii="仿宋" w:hAnsi="仿宋" w:eastAsia="仿宋" w:cs="仿宋"/>
          <w:b w:val="0"/>
          <w:bCs w:val="0"/>
          <w:sz w:val="32"/>
          <w:szCs w:val="32"/>
          <w:highlight w:val="none"/>
          <w:u w:val="none"/>
          <w:lang w:val="en-US" w:eastAsia="zh-CN"/>
        </w:rPr>
      </w:pPr>
      <w:r>
        <w:rPr>
          <w:rFonts w:hint="eastAsia" w:ascii="仿宋" w:hAnsi="仿宋" w:eastAsia="仿宋" w:cs="仿宋"/>
          <w:b w:val="0"/>
          <w:bCs w:val="0"/>
          <w:sz w:val="32"/>
          <w:szCs w:val="32"/>
          <w:highlight w:val="none"/>
          <w:u w:val="none"/>
          <w:lang w:val="en-US" w:eastAsia="zh-CN"/>
        </w:rPr>
        <w:t>2028年：重点项目建设取得阶段性成果，对经济总量的拉动作用显现。新兴业态培育初见成效，绿色农资、智慧农业服务模式得到推广。</w:t>
      </w:r>
    </w:p>
    <w:p w14:paraId="57485D2B">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640" w:firstLineChars="200"/>
        <w:jc w:val="both"/>
        <w:textAlignment w:val="auto"/>
        <w:rPr>
          <w:rFonts w:hint="eastAsia" w:ascii="仿宋" w:hAnsi="仿宋" w:eastAsia="仿宋" w:cs="仿宋"/>
          <w:b w:val="0"/>
          <w:bCs w:val="0"/>
          <w:sz w:val="32"/>
          <w:szCs w:val="32"/>
          <w:highlight w:val="none"/>
          <w:u w:val="none"/>
          <w:lang w:val="en-US" w:eastAsia="zh-CN"/>
        </w:rPr>
      </w:pPr>
      <w:r>
        <w:rPr>
          <w:rFonts w:hint="eastAsia" w:ascii="仿宋" w:hAnsi="仿宋" w:eastAsia="仿宋" w:cs="仿宋"/>
          <w:b w:val="0"/>
          <w:bCs w:val="0"/>
          <w:sz w:val="32"/>
          <w:szCs w:val="32"/>
          <w:highlight w:val="none"/>
          <w:u w:val="none"/>
          <w:lang w:val="en-US" w:eastAsia="zh-CN"/>
        </w:rPr>
        <w:t>2029年：产业结构进一步优化，传统产业升级与新兴业态发展形成合力。数字化平台功能不断完善，对业务运营的支撑作用显著增强。</w:t>
      </w:r>
    </w:p>
    <w:p w14:paraId="23F26CE3">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640" w:firstLineChars="200"/>
        <w:jc w:val="both"/>
        <w:textAlignment w:val="auto"/>
        <w:rPr>
          <w:rFonts w:hint="eastAsia" w:ascii="仿宋_GB2312" w:hAnsi="仿宋_GB2312" w:eastAsia="仿宋_GB2312" w:cs="仿宋_GB2312"/>
          <w:b w:val="0"/>
          <w:bCs w:val="0"/>
          <w:sz w:val="32"/>
          <w:szCs w:val="32"/>
          <w:highlight w:val="none"/>
          <w:u w:val="none"/>
          <w:lang w:val="en-US" w:eastAsia="zh-CN"/>
        </w:rPr>
      </w:pPr>
      <w:r>
        <w:rPr>
          <w:rFonts w:hint="eastAsia" w:ascii="仿宋" w:hAnsi="仿宋" w:eastAsia="仿宋" w:cs="仿宋"/>
          <w:b w:val="0"/>
          <w:bCs w:val="0"/>
          <w:sz w:val="32"/>
          <w:szCs w:val="32"/>
          <w:highlight w:val="none"/>
          <w:u w:val="none"/>
          <w:lang w:val="en-US" w:eastAsia="zh-CN"/>
        </w:rPr>
        <w:t>2030年：全面完成“量质双升”目标，系统综合实力和服务能力迈上新台阶。形成一批具有市场竞争力的供销产品品牌和服务模式，高质量发展格局基本确立。</w:t>
      </w:r>
    </w:p>
    <w:p w14:paraId="143FFA4F">
      <w:pPr>
        <w:pStyle w:val="4"/>
        <w:bidi w:val="0"/>
        <w:ind w:firstLine="880"/>
        <w:rPr>
          <w:rFonts w:hint="eastAsia" w:ascii="Arial" w:hAnsi="Arial"/>
          <w:b w:val="0"/>
          <w:lang w:val="en-US" w:eastAsia="zh-CN"/>
        </w:rPr>
      </w:pPr>
      <w:bookmarkStart w:id="21" w:name="_Toc21418"/>
      <w:r>
        <w:rPr>
          <w:rFonts w:hint="eastAsia" w:ascii="Arial" w:hAnsi="Arial"/>
          <w:b w:val="0"/>
          <w:lang w:val="en-US" w:eastAsia="zh-CN"/>
        </w:rPr>
        <w:t>（三）具体措施</w:t>
      </w:r>
      <w:bookmarkEnd w:id="21"/>
    </w:p>
    <w:p w14:paraId="1D5CD473">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643" w:firstLineChars="200"/>
        <w:jc w:val="both"/>
        <w:textAlignment w:val="auto"/>
        <w:rPr>
          <w:rFonts w:hint="eastAsia" w:ascii="仿宋" w:hAnsi="仿宋" w:eastAsia="仿宋" w:cs="仿宋"/>
          <w:b w:val="0"/>
          <w:bCs w:val="0"/>
          <w:sz w:val="32"/>
          <w:szCs w:val="32"/>
          <w:highlight w:val="none"/>
          <w:u w:val="none"/>
          <w:lang w:val="en-US" w:eastAsia="zh-CN"/>
        </w:rPr>
      </w:pPr>
      <w:r>
        <w:rPr>
          <w:rFonts w:hint="eastAsia" w:ascii="仿宋" w:hAnsi="仿宋" w:eastAsia="仿宋" w:cs="仿宋"/>
          <w:b/>
          <w:bCs/>
          <w:sz w:val="32"/>
          <w:szCs w:val="32"/>
          <w:highlight w:val="none"/>
          <w:u w:val="none"/>
          <w:lang w:val="en-US" w:eastAsia="zh-CN"/>
        </w:rPr>
        <w:t>1.推动供销系统提质增效。</w:t>
      </w:r>
      <w:r>
        <w:rPr>
          <w:rFonts w:hint="eastAsia" w:ascii="仿宋" w:hAnsi="仿宋" w:eastAsia="仿宋" w:cs="仿宋"/>
          <w:b w:val="0"/>
          <w:bCs w:val="0"/>
          <w:sz w:val="32"/>
          <w:szCs w:val="32"/>
          <w:highlight w:val="none"/>
          <w:u w:val="none"/>
          <w:lang w:val="en-US" w:eastAsia="zh-CN"/>
        </w:rPr>
        <w:t>持续推进“跑项目、争国债、争政策”。服务协调推进中国供销（鄂州）产业园建设。坚定不移推进全市供销系统经济总量能级跨越，实施项目建设扩量提质。以提高社有企业为农服务能力和综合实力为根本，以提高经济发展质量和效益为中心，以“培育新动能、重大项目投资”为重点，坚持“改旧、扬长、育新”并重，巩固提升供销传统产业。多渠道拓宽农产品营销渠道，扩大供销产品的知名度和平台服务能力，带动上游以销定产、下游以质取胜，初步建成产、供、销全产业链。</w:t>
      </w:r>
    </w:p>
    <w:p w14:paraId="5B884427">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643" w:firstLineChars="200"/>
        <w:jc w:val="both"/>
        <w:textAlignment w:val="auto"/>
        <w:rPr>
          <w:rFonts w:hint="eastAsia" w:ascii="仿宋" w:hAnsi="仿宋" w:eastAsia="仿宋" w:cs="仿宋"/>
          <w:b w:val="0"/>
          <w:bCs w:val="0"/>
          <w:sz w:val="32"/>
          <w:szCs w:val="32"/>
          <w:highlight w:val="none"/>
          <w:u w:val="none"/>
          <w:lang w:val="en-US" w:eastAsia="zh-CN"/>
        </w:rPr>
      </w:pPr>
      <w:r>
        <w:rPr>
          <w:rFonts w:hint="eastAsia" w:ascii="仿宋" w:hAnsi="仿宋" w:eastAsia="仿宋" w:cs="仿宋"/>
          <w:b/>
          <w:bCs/>
          <w:sz w:val="32"/>
          <w:szCs w:val="32"/>
          <w:highlight w:val="none"/>
          <w:u w:val="none"/>
          <w:lang w:val="en-US" w:eastAsia="zh-CN"/>
        </w:rPr>
        <w:t>2.推动供销系统量的合理增长。</w:t>
      </w:r>
      <w:r>
        <w:rPr>
          <w:rFonts w:hint="eastAsia" w:ascii="仿宋" w:hAnsi="仿宋" w:eastAsia="仿宋" w:cs="仿宋"/>
          <w:b w:val="0"/>
          <w:bCs w:val="0"/>
          <w:sz w:val="32"/>
          <w:szCs w:val="32"/>
          <w:highlight w:val="none"/>
          <w:u w:val="none"/>
          <w:lang w:val="en-US" w:eastAsia="zh-CN"/>
        </w:rPr>
        <w:t>在优化结构的基础上，稳步扩大经营服务规模和经济总量。积极拓展农业社会化服务覆盖面，在粮油、果蔬、水产等主要生产领域，推广单环节、多环节和全程托管服务，推动服务面积和产值实现新突破。大力发展农村电子商务，依托系统网络优势，拓展线上销售渠道，实现线上线下融合发展，带动日用消费品、农产品购销总额持续增长。稳妥推进再生资源回收网络向城乡社区延伸，提高回收量和资源化利用水平。鼓励有条件的社有企业围绕区域特色农业产业链开展适度规模经营，参与农产品精深加工和品牌建设，培育新的经济增长点。通过服务拓展、渠道创新和产业延伸，实现系统经济规模的健康可持续增长。</w:t>
      </w:r>
    </w:p>
    <w:p w14:paraId="6765D14E">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643" w:firstLineChars="200"/>
        <w:jc w:val="both"/>
        <w:textAlignment w:val="auto"/>
        <w:rPr>
          <w:rFonts w:hint="eastAsia" w:ascii="仿宋" w:hAnsi="仿宋" w:eastAsia="仿宋" w:cs="仿宋"/>
          <w:b w:val="0"/>
          <w:bCs w:val="0"/>
          <w:sz w:val="32"/>
          <w:szCs w:val="32"/>
          <w:highlight w:val="none"/>
          <w:u w:val="none"/>
          <w:lang w:val="en-US" w:eastAsia="zh-CN"/>
        </w:rPr>
      </w:pPr>
      <w:r>
        <w:rPr>
          <w:rFonts w:hint="eastAsia" w:ascii="仿宋" w:hAnsi="仿宋" w:eastAsia="仿宋" w:cs="仿宋"/>
          <w:b/>
          <w:bCs/>
          <w:sz w:val="32"/>
          <w:szCs w:val="32"/>
          <w:highlight w:val="none"/>
          <w:u w:val="none"/>
          <w:lang w:val="en-US" w:eastAsia="zh-CN"/>
        </w:rPr>
        <w:t>3.向新向优促进高质量发展。</w:t>
      </w:r>
      <w:r>
        <w:rPr>
          <w:rFonts w:hint="eastAsia" w:ascii="仿宋" w:hAnsi="仿宋" w:eastAsia="仿宋" w:cs="仿宋"/>
          <w:b w:val="0"/>
          <w:bCs w:val="0"/>
          <w:sz w:val="32"/>
          <w:szCs w:val="32"/>
          <w:highlight w:val="none"/>
          <w:u w:val="none"/>
          <w:lang w:val="en-US" w:eastAsia="zh-CN"/>
        </w:rPr>
        <w:t>以科技创新和数字化转型为引领，培育发展新动能。主动对接省级城乡供应链公共服务平台，推动系统内经营服务网点数据互联、业务互通。探索发展“数字供销”，应用物联网、大数据等技术，提升农资配送、农产品溯源、冷链监控等环节的智能化水平。积极拓展绿色生态服务，参与农业面源污染防治，推广施用有机肥、高效低毒农药等绿色投入品，开展农作物秸秆、农膜等农业废弃物资源化利用服务。顺应消费升级趋势，培育发展中央厨房、预制菜加工、社区直供等新兴业态。通过注入科技元素、拓展绿色服务、发展新兴业态，推动供销系统产业结构优化和服务模式创新，走出一条内涵式、可持续的高质量发展道路。</w:t>
      </w:r>
    </w:p>
    <w:tbl>
      <w:tblPr>
        <w:tblStyle w:val="13"/>
        <w:tblpPr w:leftFromText="180" w:rightFromText="180" w:vertAnchor="text" w:horzAnchor="page" w:tblpX="1816" w:tblpY="162"/>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1BDA8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522" w:type="dxa"/>
            <w:noWrap w:val="0"/>
            <w:vAlign w:val="top"/>
          </w:tcPr>
          <w:p w14:paraId="18A04166">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b w:val="0"/>
                <w:bCs w:val="0"/>
                <w:sz w:val="32"/>
                <w:szCs w:val="32"/>
                <w:highlight w:val="none"/>
                <w:u w:val="none"/>
                <w:vertAlign w:val="baseline"/>
                <w:lang w:val="en-US" w:eastAsia="zh-CN"/>
              </w:rPr>
            </w:pPr>
            <w:r>
              <w:rPr>
                <w:rFonts w:hint="eastAsia" w:ascii="黑体" w:hAnsi="黑体" w:eastAsia="黑体" w:cs="黑体"/>
                <w:b w:val="0"/>
                <w:bCs w:val="0"/>
                <w:sz w:val="32"/>
                <w:szCs w:val="32"/>
                <w:highlight w:val="none"/>
                <w:u w:val="none"/>
                <w:vertAlign w:val="baseline"/>
                <w:lang w:val="en-US" w:eastAsia="zh-CN"/>
              </w:rPr>
              <w:t>项目专栏</w:t>
            </w:r>
          </w:p>
        </w:tc>
      </w:tr>
      <w:tr w14:paraId="5BE7E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trPr>
        <w:tc>
          <w:tcPr>
            <w:tcW w:w="8522" w:type="dxa"/>
            <w:noWrap w:val="0"/>
            <w:vAlign w:val="top"/>
          </w:tcPr>
          <w:p w14:paraId="782FFD20">
            <w:pPr>
              <w:pStyle w:val="16"/>
              <w:keepNext w:val="0"/>
              <w:keepLines w:val="0"/>
              <w:pageBreakBefore w:val="0"/>
              <w:widowControl w:val="0"/>
              <w:kinsoku/>
              <w:wordWrap/>
              <w:overflowPunct/>
              <w:topLinePunct w:val="0"/>
              <w:bidi w:val="0"/>
              <w:adjustRightInd/>
              <w:snapToGrid/>
              <w:spacing w:line="240" w:lineRule="auto"/>
              <w:ind w:firstLine="640" w:firstLineChars="200"/>
              <w:jc w:val="both"/>
              <w:textAlignment w:val="auto"/>
              <w:rPr>
                <w:rFonts w:hint="eastAsia" w:ascii="仿宋" w:hAnsi="仿宋" w:eastAsia="仿宋" w:cs="仿宋"/>
                <w:b w:val="0"/>
                <w:bCs w:val="0"/>
                <w:snapToGrid w:val="0"/>
                <w:color w:val="auto"/>
                <w:spacing w:val="0"/>
                <w:kern w:val="0"/>
                <w:sz w:val="32"/>
                <w:szCs w:val="32"/>
                <w:highlight w:val="none"/>
                <w:u w:val="none"/>
                <w:lang w:val="en-US" w:eastAsia="zh-CN" w:bidi="ar"/>
              </w:rPr>
            </w:pPr>
            <w:r>
              <w:rPr>
                <w:rFonts w:hint="eastAsia" w:ascii="黑体" w:hAnsi="黑体" w:eastAsia="黑体" w:cs="黑体"/>
                <w:b w:val="0"/>
                <w:bCs w:val="0"/>
                <w:color w:val="auto"/>
                <w:kern w:val="2"/>
                <w:sz w:val="32"/>
                <w:szCs w:val="32"/>
                <w:highlight w:val="none"/>
                <w:u w:val="none"/>
                <w:vertAlign w:val="baseline"/>
                <w:lang w:val="en-US" w:eastAsia="zh-CN" w:bidi="ar-SA"/>
              </w:rPr>
              <w:t>中农湖北鄂州化肥保供储备库项目：</w:t>
            </w:r>
            <w:r>
              <w:rPr>
                <w:rFonts w:hint="eastAsia" w:ascii="仿宋" w:hAnsi="仿宋" w:eastAsia="仿宋" w:cs="仿宋"/>
                <w:i w:val="0"/>
                <w:iCs w:val="0"/>
                <w:color w:val="000000"/>
                <w:kern w:val="0"/>
                <w:sz w:val="32"/>
                <w:szCs w:val="32"/>
                <w:highlight w:val="none"/>
                <w:u w:val="none"/>
                <w:lang w:val="en-US" w:eastAsia="zh-CN" w:bidi="ar"/>
              </w:rPr>
              <w:t>完成总库容4.2万吨规模的化肥保供储备库建设，配套必备的仓储服务设备，提供化肥仓储、分装、装卸与配送等服务。促进地区农资仓储物流产业发展，保障当地农资产品供应和价格稳定，并能提升农资流通效率、降低农资流通成本，为鄂州农业种植和粮食生产保驾护航。</w:t>
            </w:r>
          </w:p>
          <w:p w14:paraId="749EA5D6">
            <w:pPr>
              <w:keepNext w:val="0"/>
              <w:keepLines w:val="0"/>
              <w:pageBreakBefore w:val="0"/>
              <w:widowControl/>
              <w:suppressLineNumbers w:val="0"/>
              <w:wordWrap/>
              <w:overflowPunct/>
              <w:topLinePunct w:val="0"/>
              <w:bidi w:val="0"/>
              <w:adjustRightInd/>
              <w:snapToGrid/>
              <w:spacing w:line="240" w:lineRule="auto"/>
              <w:ind w:firstLine="640" w:firstLineChars="200"/>
              <w:jc w:val="both"/>
              <w:rPr>
                <w:rFonts w:hint="eastAsia" w:ascii="仿宋" w:hAnsi="仿宋" w:eastAsia="仿宋" w:cs="仿宋"/>
                <w:i w:val="0"/>
                <w:iCs w:val="0"/>
                <w:color w:val="000000"/>
                <w:kern w:val="0"/>
                <w:sz w:val="32"/>
                <w:szCs w:val="32"/>
                <w:highlight w:val="none"/>
                <w:u w:val="none"/>
                <w:lang w:val="en-US" w:eastAsia="zh-CN" w:bidi="ar"/>
              </w:rPr>
            </w:pPr>
            <w:r>
              <w:rPr>
                <w:rFonts w:hint="eastAsia" w:ascii="黑体" w:hAnsi="黑体" w:eastAsia="黑体" w:cs="黑体"/>
                <w:b w:val="0"/>
                <w:bCs w:val="0"/>
                <w:color w:val="auto"/>
                <w:kern w:val="2"/>
                <w:sz w:val="32"/>
                <w:szCs w:val="32"/>
                <w:highlight w:val="none"/>
                <w:u w:val="none"/>
                <w:vertAlign w:val="baseline"/>
                <w:lang w:val="en-US" w:eastAsia="zh-CN" w:bidi="ar-SA"/>
              </w:rPr>
              <w:t>中国供销鄂州智慧冷链产业园项目：</w:t>
            </w:r>
            <w:r>
              <w:rPr>
                <w:rFonts w:hint="eastAsia" w:ascii="仿宋" w:hAnsi="仿宋" w:eastAsia="仿宋" w:cs="仿宋"/>
                <w:i w:val="0"/>
                <w:iCs w:val="0"/>
                <w:color w:val="000000"/>
                <w:kern w:val="0"/>
                <w:sz w:val="32"/>
                <w:szCs w:val="32"/>
                <w:highlight w:val="none"/>
                <w:u w:val="none"/>
                <w:lang w:val="en-US" w:eastAsia="zh-CN" w:bidi="ar"/>
              </w:rPr>
              <w:t>项目拟建设成为华中地区具有代表性的冷链物流节点仓，项目全部建成达产后提供库容5万立方，年均吞吐货物20万吨。搭建区域冷链流通平台和冷链物流通道，带动商品流、信息流、人才流、资金流，以及产品加工等相关行业发展，推动区域农业和物流经济快速发展。</w:t>
            </w:r>
          </w:p>
          <w:p w14:paraId="6B588B16">
            <w:pPr>
              <w:pStyle w:val="16"/>
              <w:keepNext w:val="0"/>
              <w:keepLines w:val="0"/>
              <w:pageBreakBefore w:val="0"/>
              <w:widowControl w:val="0"/>
              <w:kinsoku/>
              <w:wordWrap/>
              <w:overflowPunct/>
              <w:topLinePunct w:val="0"/>
              <w:bidi w:val="0"/>
              <w:adjustRightInd/>
              <w:snapToGrid/>
              <w:spacing w:line="240" w:lineRule="auto"/>
              <w:ind w:firstLine="640" w:firstLineChars="200"/>
              <w:jc w:val="both"/>
              <w:textAlignment w:val="auto"/>
              <w:rPr>
                <w:rFonts w:hint="eastAsia"/>
                <w:sz w:val="32"/>
                <w:szCs w:val="32"/>
                <w:highlight w:val="none"/>
                <w:u w:val="none"/>
                <w:lang w:val="en-US" w:eastAsia="zh-CN"/>
              </w:rPr>
            </w:pPr>
            <w:r>
              <w:rPr>
                <w:rFonts w:hint="eastAsia" w:ascii="黑体" w:hAnsi="黑体" w:eastAsia="黑体" w:cs="黑体"/>
                <w:b w:val="0"/>
                <w:bCs w:val="0"/>
                <w:color w:val="auto"/>
                <w:kern w:val="2"/>
                <w:sz w:val="32"/>
                <w:szCs w:val="32"/>
                <w:highlight w:val="none"/>
                <w:u w:val="none"/>
                <w:vertAlign w:val="baseline"/>
                <w:lang w:val="en-US" w:eastAsia="zh-CN" w:bidi="ar-SA"/>
              </w:rPr>
              <w:t>供销粮油（鄂州）现代粮食仓储物流产业园一期项目：</w:t>
            </w:r>
            <w:r>
              <w:rPr>
                <w:rFonts w:hint="eastAsia" w:ascii="仿宋" w:hAnsi="仿宋" w:eastAsia="仿宋" w:cs="仿宋"/>
                <w:i w:val="0"/>
                <w:iCs w:val="0"/>
                <w:color w:val="000000"/>
                <w:kern w:val="0"/>
                <w:sz w:val="32"/>
                <w:szCs w:val="32"/>
                <w:highlight w:val="none"/>
                <w:u w:val="none"/>
                <w:lang w:val="en-US" w:eastAsia="zh-CN" w:bidi="ar"/>
              </w:rPr>
              <w:t>项目建设粮食仓储与饲料加工设施，配套建设一站式服务中心、过磅检验中心等配套设施，充分利用鄂州区位交通优势与保税区税收优惠政策，开展进口玉米、大豆等粮食调节储备、定向销售业务，利用配套的港口码头，开展方便快捷的粮食贸易及物流中转等业务。</w:t>
            </w:r>
          </w:p>
          <w:p w14:paraId="2F7A493B">
            <w:pPr>
              <w:pStyle w:val="16"/>
              <w:keepNext w:val="0"/>
              <w:keepLines w:val="0"/>
              <w:pageBreakBefore w:val="0"/>
              <w:widowControl w:val="0"/>
              <w:kinsoku/>
              <w:wordWrap/>
              <w:overflowPunct/>
              <w:topLinePunct w:val="0"/>
              <w:bidi w:val="0"/>
              <w:adjustRightInd/>
              <w:snapToGrid/>
              <w:spacing w:line="240" w:lineRule="auto"/>
              <w:ind w:firstLine="640" w:firstLineChars="200"/>
              <w:jc w:val="both"/>
              <w:textAlignment w:val="auto"/>
              <w:rPr>
                <w:rFonts w:hint="eastAsia" w:ascii="仿宋" w:hAnsi="仿宋" w:eastAsia="仿宋" w:cs="仿宋"/>
                <w:i w:val="0"/>
                <w:iCs w:val="0"/>
                <w:color w:val="000000"/>
                <w:kern w:val="0"/>
                <w:sz w:val="32"/>
                <w:szCs w:val="32"/>
                <w:highlight w:val="none"/>
                <w:u w:val="none"/>
                <w:lang w:val="en-US" w:eastAsia="zh-CN" w:bidi="ar"/>
              </w:rPr>
            </w:pPr>
            <w:r>
              <w:rPr>
                <w:rFonts w:hint="eastAsia" w:ascii="黑体" w:hAnsi="黑体" w:eastAsia="黑体" w:cs="黑体"/>
                <w:b w:val="0"/>
                <w:bCs w:val="0"/>
                <w:color w:val="auto"/>
                <w:kern w:val="2"/>
                <w:sz w:val="32"/>
                <w:szCs w:val="32"/>
                <w:highlight w:val="none"/>
                <w:u w:val="none"/>
                <w:vertAlign w:val="baseline"/>
                <w:lang w:val="en-US" w:eastAsia="zh-CN" w:bidi="ar-SA"/>
              </w:rPr>
              <w:t>燕矶港星丰码头项目：</w:t>
            </w:r>
            <w:r>
              <w:rPr>
                <w:rFonts w:hint="eastAsia" w:ascii="仿宋" w:hAnsi="仿宋" w:eastAsia="仿宋" w:cs="仿宋"/>
                <w:i w:val="0"/>
                <w:iCs w:val="0"/>
                <w:color w:val="000000"/>
                <w:kern w:val="0"/>
                <w:sz w:val="32"/>
                <w:szCs w:val="32"/>
                <w:highlight w:val="none"/>
                <w:u w:val="none"/>
                <w:lang w:val="en-US" w:eastAsia="zh-CN" w:bidi="ar"/>
              </w:rPr>
              <w:t>依托长江沿岸航运优势，根据企业及腹地经济发展，本项目将建设成以散货业务为主，兼顾件杂货及集装箱业务的公用码头。项目依托长江沿岸航运优势，打造高质量码头，形成400万吨散货、50万吨件杂货、5万集装箱吞吐能力。</w:t>
            </w:r>
          </w:p>
          <w:p w14:paraId="7999B4D7">
            <w:pPr>
              <w:pStyle w:val="16"/>
              <w:keepNext w:val="0"/>
              <w:keepLines w:val="0"/>
              <w:pageBreakBefore w:val="0"/>
              <w:widowControl w:val="0"/>
              <w:kinsoku/>
              <w:wordWrap/>
              <w:overflowPunct/>
              <w:topLinePunct w:val="0"/>
              <w:bidi w:val="0"/>
              <w:adjustRightInd/>
              <w:snapToGrid/>
              <w:spacing w:line="240" w:lineRule="auto"/>
              <w:ind w:firstLine="640" w:firstLineChars="200"/>
              <w:jc w:val="both"/>
              <w:textAlignment w:val="auto"/>
              <w:rPr>
                <w:rFonts w:hint="default"/>
                <w:sz w:val="32"/>
                <w:szCs w:val="32"/>
                <w:highlight w:val="none"/>
                <w:u w:val="none"/>
                <w:lang w:val="en-US" w:eastAsia="zh-CN"/>
              </w:rPr>
            </w:pPr>
            <w:r>
              <w:rPr>
                <w:rFonts w:hint="eastAsia" w:ascii="黑体" w:hAnsi="黑体" w:eastAsia="黑体" w:cs="黑体"/>
                <w:b w:val="0"/>
                <w:bCs w:val="0"/>
                <w:color w:val="auto"/>
                <w:kern w:val="2"/>
                <w:sz w:val="32"/>
                <w:szCs w:val="32"/>
                <w:highlight w:val="none"/>
                <w:u w:val="none"/>
                <w:vertAlign w:val="baseline"/>
                <w:lang w:val="en-US" w:eastAsia="zh-CN" w:bidi="ar-SA"/>
              </w:rPr>
              <w:t>华中国际花卉产业数智化交易中心项目：</w:t>
            </w:r>
            <w:r>
              <w:rPr>
                <w:rFonts w:hint="eastAsia" w:ascii="仿宋" w:hAnsi="仿宋" w:eastAsia="仿宋" w:cs="仿宋"/>
                <w:b w:val="0"/>
                <w:bCs w:val="0"/>
                <w:snapToGrid w:val="0"/>
                <w:color w:val="auto"/>
                <w:spacing w:val="0"/>
                <w:kern w:val="0"/>
                <w:sz w:val="32"/>
                <w:szCs w:val="32"/>
                <w:highlight w:val="none"/>
                <w:u w:val="none"/>
                <w:lang w:val="en-US" w:eastAsia="zh-CN" w:bidi="ar"/>
              </w:rPr>
              <w:t>依托鄂州花湖机场枢纽优势，建设覆盖种植、交易、物流、金融、数据全链条的现代化花卉产业数智化枢纽。建成智能交易大厅、数字化拍卖中心、电商直播基地、金融服务中心及数据中心，配套建设智能玻璃温室、组培研发中心、新品种展示园与智慧冷链物流区。构建基于区块链的溯源系统、物联网监控系统和大数据分析平台，实现花卉产业全程可追溯、智能化管理与数据赋能。打造国家级花卉产业数字贸易中心，形成“买全球、卖全球”的花卉贸易格局，推动产业升级与城乡融合发展，成为华中地区乡村振兴与数字经济融合的示范标杆。</w:t>
            </w:r>
          </w:p>
        </w:tc>
      </w:tr>
    </w:tbl>
    <w:p w14:paraId="5CD6AEA3">
      <w:pPr>
        <w:pStyle w:val="3"/>
        <w:bidi w:val="0"/>
        <w:rPr>
          <w:rFonts w:hint="eastAsia"/>
          <w:lang w:val="en-US" w:eastAsia="zh-CN"/>
        </w:rPr>
      </w:pPr>
      <w:bookmarkStart w:id="22" w:name="_Toc21284"/>
      <w:r>
        <w:rPr>
          <w:rFonts w:hint="eastAsia"/>
          <w:lang w:val="en-US" w:eastAsia="zh-CN"/>
        </w:rPr>
        <w:t>五、加快服务建强国内市场，提升供销扩内需“贡献率”</w:t>
      </w:r>
      <w:bookmarkEnd w:id="22"/>
      <w:bookmarkStart w:id="23" w:name="OLE_LINK5"/>
    </w:p>
    <w:bookmarkEnd w:id="23"/>
    <w:p w14:paraId="08577C83">
      <w:pPr>
        <w:pStyle w:val="4"/>
        <w:bidi w:val="0"/>
        <w:ind w:firstLine="880"/>
        <w:rPr>
          <w:rFonts w:hint="eastAsia" w:ascii="Arial" w:hAnsi="Arial"/>
          <w:b w:val="0"/>
          <w:lang w:eastAsia="zh-CN"/>
        </w:rPr>
      </w:pPr>
      <w:bookmarkStart w:id="24" w:name="_Toc20454"/>
      <w:r>
        <w:rPr>
          <w:rFonts w:hint="eastAsia" w:ascii="Arial" w:hAnsi="Arial"/>
          <w:b w:val="0"/>
          <w:lang w:eastAsia="zh-CN"/>
        </w:rPr>
        <w:t>（</w:t>
      </w:r>
      <w:r>
        <w:rPr>
          <w:rFonts w:hint="eastAsia" w:ascii="Arial" w:hAnsi="Arial"/>
          <w:b w:val="0"/>
          <w:lang w:val="en-US" w:eastAsia="zh-CN"/>
        </w:rPr>
        <w:t>一</w:t>
      </w:r>
      <w:r>
        <w:rPr>
          <w:rFonts w:hint="eastAsia" w:ascii="Arial" w:hAnsi="Arial"/>
          <w:b w:val="0"/>
          <w:lang w:eastAsia="zh-CN"/>
        </w:rPr>
        <w:t>）任务目标</w:t>
      </w:r>
      <w:bookmarkEnd w:id="24"/>
    </w:p>
    <w:p w14:paraId="4944927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jc w:val="both"/>
        <w:textAlignment w:val="auto"/>
        <w:rPr>
          <w:rFonts w:hint="eastAsia" w:ascii="仿宋" w:hAnsi="仿宋" w:eastAsia="仿宋" w:cs="仿宋"/>
          <w:b w:val="0"/>
          <w:bCs w:val="0"/>
          <w:sz w:val="32"/>
          <w:szCs w:val="32"/>
          <w:highlight w:val="none"/>
          <w:u w:val="none"/>
          <w:lang w:eastAsia="zh-CN"/>
        </w:rPr>
      </w:pPr>
      <w:r>
        <w:rPr>
          <w:rFonts w:hint="eastAsia" w:ascii="仿宋" w:hAnsi="仿宋" w:eastAsia="仿宋" w:cs="仿宋"/>
          <w:kern w:val="0"/>
          <w:sz w:val="32"/>
          <w:szCs w:val="32"/>
          <w:highlight w:val="none"/>
          <w:u w:val="none"/>
          <w:shd w:val="clear" w:color="auto" w:fill="FFFFFF"/>
          <w:lang w:eastAsia="zh-CN" w:bidi="ar"/>
        </w:rPr>
        <w:t>以扩大内需、服务三农为核心，以数字化“天网”优化城乡要素配置，以实体化“地网”保障商品双向流通、服务高效，</w:t>
      </w:r>
      <w:r>
        <w:rPr>
          <w:rFonts w:hint="eastAsia" w:ascii="仿宋" w:hAnsi="仿宋" w:eastAsia="仿宋" w:cs="仿宋"/>
          <w:b w:val="0"/>
          <w:bCs w:val="0"/>
          <w:sz w:val="32"/>
          <w:szCs w:val="32"/>
          <w:highlight w:val="none"/>
          <w:u w:val="none"/>
          <w:lang w:eastAsia="zh-CN"/>
        </w:rPr>
        <w:t>力争在</w:t>
      </w:r>
      <w:r>
        <w:rPr>
          <w:rFonts w:hint="eastAsia" w:ascii="仿宋" w:hAnsi="仿宋" w:eastAsia="仿宋" w:cs="仿宋"/>
          <w:b w:val="0"/>
          <w:bCs w:val="0"/>
          <w:sz w:val="32"/>
          <w:szCs w:val="32"/>
          <w:highlight w:val="none"/>
          <w:u w:val="none"/>
          <w:lang w:val="en-US" w:eastAsia="zh-CN"/>
        </w:rPr>
        <w:t>2030年建成与花湖机场深度融合、服务全市城乡的现代物流服务骨干网络，</w:t>
      </w:r>
      <w:r>
        <w:rPr>
          <w:rFonts w:hint="eastAsia" w:ascii="仿宋" w:hAnsi="仿宋" w:eastAsia="仿宋" w:cs="仿宋"/>
          <w:b w:val="0"/>
          <w:bCs w:val="0"/>
          <w:sz w:val="32"/>
          <w:szCs w:val="32"/>
          <w:highlight w:val="none"/>
          <w:u w:val="none"/>
        </w:rPr>
        <w:t>将“供销”传统信誉与“空港”现代效率相结合，</w:t>
      </w:r>
      <w:r>
        <w:rPr>
          <w:rFonts w:hint="eastAsia" w:ascii="仿宋" w:hAnsi="仿宋" w:eastAsia="仿宋" w:cs="仿宋"/>
          <w:b w:val="0"/>
          <w:bCs w:val="0"/>
          <w:sz w:val="32"/>
          <w:szCs w:val="32"/>
          <w:highlight w:val="none"/>
          <w:u w:val="none"/>
          <w:lang w:eastAsia="zh-CN"/>
        </w:rPr>
        <w:t>打造</w:t>
      </w:r>
      <w:r>
        <w:rPr>
          <w:rFonts w:hint="eastAsia" w:ascii="仿宋" w:hAnsi="仿宋" w:eastAsia="仿宋" w:cs="仿宋"/>
          <w:b w:val="0"/>
          <w:bCs w:val="0"/>
          <w:sz w:val="32"/>
          <w:szCs w:val="32"/>
          <w:highlight w:val="none"/>
          <w:u w:val="none"/>
        </w:rPr>
        <w:t>高端、可信赖</w:t>
      </w:r>
      <w:r>
        <w:rPr>
          <w:rFonts w:hint="eastAsia" w:ascii="仿宋" w:hAnsi="仿宋" w:eastAsia="仿宋" w:cs="仿宋"/>
          <w:b w:val="0"/>
          <w:bCs w:val="0"/>
          <w:sz w:val="32"/>
          <w:szCs w:val="32"/>
          <w:highlight w:val="none"/>
          <w:u w:val="none"/>
          <w:lang w:eastAsia="zh-CN"/>
        </w:rPr>
        <w:t>、广泛影响力</w:t>
      </w:r>
      <w:r>
        <w:rPr>
          <w:rFonts w:hint="eastAsia" w:ascii="仿宋" w:hAnsi="仿宋" w:eastAsia="仿宋" w:cs="仿宋"/>
          <w:b w:val="0"/>
          <w:bCs w:val="0"/>
          <w:sz w:val="32"/>
          <w:szCs w:val="32"/>
          <w:highlight w:val="none"/>
          <w:u w:val="none"/>
        </w:rPr>
        <w:t>的</w:t>
      </w:r>
      <w:r>
        <w:rPr>
          <w:rFonts w:hint="eastAsia" w:ascii="仿宋" w:hAnsi="仿宋" w:eastAsia="仿宋" w:cs="仿宋"/>
          <w:b w:val="0"/>
          <w:bCs w:val="0"/>
          <w:sz w:val="32"/>
          <w:szCs w:val="32"/>
          <w:highlight w:val="none"/>
          <w:u w:val="none"/>
          <w:lang w:eastAsia="zh-CN"/>
        </w:rPr>
        <w:t>供销消费</w:t>
      </w:r>
      <w:r>
        <w:rPr>
          <w:rFonts w:hint="eastAsia" w:ascii="仿宋" w:hAnsi="仿宋" w:eastAsia="仿宋" w:cs="仿宋"/>
          <w:b w:val="0"/>
          <w:bCs w:val="0"/>
          <w:sz w:val="32"/>
          <w:szCs w:val="32"/>
          <w:highlight w:val="none"/>
          <w:u w:val="none"/>
        </w:rPr>
        <w:t>品牌</w:t>
      </w:r>
      <w:r>
        <w:rPr>
          <w:rFonts w:hint="eastAsia" w:ascii="仿宋" w:hAnsi="仿宋" w:eastAsia="仿宋" w:cs="仿宋"/>
          <w:b w:val="0"/>
          <w:bCs w:val="0"/>
          <w:sz w:val="32"/>
          <w:szCs w:val="32"/>
          <w:highlight w:val="none"/>
          <w:u w:val="none"/>
          <w:lang w:eastAsia="zh-CN"/>
        </w:rPr>
        <w:t>，带动鄂州优质农特产品高效“卖全球”、特色消费品便捷“买全国”。</w:t>
      </w:r>
    </w:p>
    <w:p w14:paraId="159882CB">
      <w:pPr>
        <w:pStyle w:val="4"/>
        <w:bidi w:val="0"/>
        <w:ind w:firstLine="880"/>
        <w:rPr>
          <w:rFonts w:hint="eastAsia" w:ascii="Arial" w:hAnsi="Arial"/>
          <w:b w:val="0"/>
          <w:lang w:val="en-US" w:eastAsia="zh-CN"/>
        </w:rPr>
      </w:pPr>
      <w:bookmarkStart w:id="25" w:name="_Toc16256"/>
      <w:r>
        <w:rPr>
          <w:rFonts w:hint="eastAsia" w:ascii="Arial" w:hAnsi="Arial"/>
          <w:b w:val="0"/>
          <w:lang w:val="en-US" w:eastAsia="zh-CN"/>
        </w:rPr>
        <w:t>（二）分年度计划</w:t>
      </w:r>
      <w:bookmarkEnd w:id="25"/>
    </w:p>
    <w:p w14:paraId="74E02AB2">
      <w:pPr>
        <w:pStyle w:val="2"/>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 w:hAnsi="仿宋" w:eastAsia="仿宋" w:cs="仿宋"/>
          <w:b w:val="0"/>
          <w:bCs w:val="0"/>
          <w:kern w:val="2"/>
          <w:sz w:val="32"/>
          <w:szCs w:val="32"/>
          <w:highlight w:val="none"/>
          <w:u w:val="none"/>
          <w:lang w:val="en-US" w:eastAsia="zh-CN" w:bidi="ar-SA"/>
        </w:rPr>
      </w:pPr>
      <w:r>
        <w:rPr>
          <w:rFonts w:hint="eastAsia" w:ascii="仿宋" w:hAnsi="仿宋" w:eastAsia="仿宋" w:cs="仿宋"/>
          <w:b w:val="0"/>
          <w:bCs w:val="0"/>
          <w:kern w:val="2"/>
          <w:sz w:val="32"/>
          <w:szCs w:val="32"/>
          <w:highlight w:val="none"/>
          <w:u w:val="none"/>
          <w:lang w:val="en-US" w:eastAsia="zh-CN" w:bidi="ar-SA"/>
        </w:rPr>
        <w:t>2026年：完成城乡流通网络现状评估与优化规划。启动消费业态创新试点，重点培育1-2个本土电商团队或“供销主播”。启动1-2个乡镇商贸中心升级改造项目。</w:t>
      </w:r>
    </w:p>
    <w:p w14:paraId="485C2AA6">
      <w:pPr>
        <w:pStyle w:val="2"/>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 w:hAnsi="仿宋" w:eastAsia="仿宋" w:cs="仿宋"/>
          <w:b w:val="0"/>
          <w:bCs w:val="0"/>
          <w:kern w:val="2"/>
          <w:sz w:val="32"/>
          <w:szCs w:val="32"/>
          <w:highlight w:val="none"/>
          <w:u w:val="none"/>
          <w:lang w:val="en-US" w:eastAsia="zh-CN" w:bidi="ar-SA"/>
        </w:rPr>
      </w:pPr>
      <w:r>
        <w:rPr>
          <w:rFonts w:hint="eastAsia" w:ascii="仿宋" w:hAnsi="仿宋" w:eastAsia="仿宋" w:cs="仿宋"/>
          <w:b w:val="0"/>
          <w:bCs w:val="0"/>
          <w:kern w:val="2"/>
          <w:sz w:val="32"/>
          <w:szCs w:val="32"/>
          <w:highlight w:val="none"/>
          <w:u w:val="none"/>
          <w:lang w:val="en-US" w:eastAsia="zh-CN" w:bidi="ar-SA"/>
        </w:rPr>
        <w:t>2027年：推广试点经验，扩大农村电商覆盖面。推动系统内主要超市、市场与生产基地建立稳定产销关系。建设或升级1个区域性集采集配中心。城乡物流协同机制初步建立。</w:t>
      </w:r>
    </w:p>
    <w:p w14:paraId="72AE5140">
      <w:pPr>
        <w:pStyle w:val="2"/>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 w:hAnsi="仿宋" w:eastAsia="仿宋" w:cs="仿宋"/>
          <w:b w:val="0"/>
          <w:bCs w:val="0"/>
          <w:kern w:val="2"/>
          <w:sz w:val="32"/>
          <w:szCs w:val="32"/>
          <w:highlight w:val="none"/>
          <w:u w:val="none"/>
          <w:lang w:val="en-US" w:eastAsia="zh-CN" w:bidi="ar-SA"/>
        </w:rPr>
      </w:pPr>
      <w:r>
        <w:rPr>
          <w:rFonts w:hint="eastAsia" w:ascii="仿宋" w:hAnsi="仿宋" w:eastAsia="仿宋" w:cs="仿宋"/>
          <w:b w:val="0"/>
          <w:bCs w:val="0"/>
          <w:kern w:val="2"/>
          <w:sz w:val="32"/>
          <w:szCs w:val="32"/>
          <w:highlight w:val="none"/>
          <w:u w:val="none"/>
          <w:lang w:val="en-US" w:eastAsia="zh-CN" w:bidi="ar-SA"/>
        </w:rPr>
        <w:t>2028年：线上线下融合消费场景基本形成，社区团购、即时零售等新业态得到发展。重要流通节点信息化、智能化水平显著提升。农产品上行效率提高，工业品下行渠道畅通。</w:t>
      </w:r>
    </w:p>
    <w:p w14:paraId="341F0DC2">
      <w:pPr>
        <w:pStyle w:val="2"/>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 w:hAnsi="仿宋" w:eastAsia="仿宋" w:cs="仿宋"/>
          <w:b w:val="0"/>
          <w:bCs w:val="0"/>
          <w:kern w:val="2"/>
          <w:sz w:val="32"/>
          <w:szCs w:val="32"/>
          <w:highlight w:val="none"/>
          <w:u w:val="none"/>
          <w:lang w:val="en-US" w:eastAsia="zh-CN" w:bidi="ar-SA"/>
        </w:rPr>
      </w:pPr>
      <w:r>
        <w:rPr>
          <w:rFonts w:hint="eastAsia" w:ascii="仿宋" w:hAnsi="仿宋" w:eastAsia="仿宋" w:cs="仿宋"/>
          <w:b w:val="0"/>
          <w:bCs w:val="0"/>
          <w:kern w:val="2"/>
          <w:sz w:val="32"/>
          <w:szCs w:val="32"/>
          <w:highlight w:val="none"/>
          <w:u w:val="none"/>
          <w:lang w:val="en-US" w:eastAsia="zh-CN" w:bidi="ar-SA"/>
        </w:rPr>
        <w:t>2029年：建成覆盖全市、高效协同的城乡三级物流服务体系。供销系统自有电商平台服务功能完善，品牌影响力扩大。终端网点综合服务能力全面增强。</w:t>
      </w:r>
    </w:p>
    <w:p w14:paraId="28124E28">
      <w:pPr>
        <w:pStyle w:val="2"/>
        <w:keepNext w:val="0"/>
        <w:keepLines w:val="0"/>
        <w:pageBreakBefore w:val="0"/>
        <w:wordWrap/>
        <w:overflowPunct/>
        <w:topLinePunct w:val="0"/>
        <w:bidi w:val="0"/>
        <w:adjustRightInd/>
        <w:snapToGrid/>
        <w:spacing w:line="240" w:lineRule="auto"/>
        <w:ind w:firstLine="640" w:firstLineChars="200"/>
        <w:jc w:val="both"/>
        <w:rPr>
          <w:rFonts w:hint="eastAsia" w:ascii="仿宋" w:hAnsi="仿宋" w:eastAsia="仿宋" w:cs="仿宋"/>
          <w:b/>
          <w:bCs/>
          <w:sz w:val="32"/>
          <w:szCs w:val="32"/>
          <w:highlight w:val="none"/>
          <w:u w:val="none"/>
          <w:lang w:eastAsia="zh-CN"/>
        </w:rPr>
      </w:pPr>
      <w:r>
        <w:rPr>
          <w:rFonts w:hint="eastAsia" w:ascii="仿宋" w:hAnsi="仿宋" w:eastAsia="仿宋" w:cs="仿宋"/>
          <w:b w:val="0"/>
          <w:bCs w:val="0"/>
          <w:kern w:val="2"/>
          <w:sz w:val="32"/>
          <w:szCs w:val="32"/>
          <w:highlight w:val="none"/>
          <w:u w:val="none"/>
          <w:lang w:val="en-US" w:eastAsia="zh-CN" w:bidi="ar-SA"/>
        </w:rPr>
        <w:t>2030年：城乡双向流通高效顺畅，供销系统成为鄂州扩大内需、促进消费的重要力量。形成一批区域性消费新地标和便民服务节点。</w:t>
      </w:r>
    </w:p>
    <w:p w14:paraId="7D83E971">
      <w:pPr>
        <w:pStyle w:val="4"/>
        <w:bidi w:val="0"/>
        <w:ind w:firstLine="880"/>
        <w:rPr>
          <w:rFonts w:hint="eastAsia" w:ascii="Arial" w:hAnsi="Arial"/>
          <w:b w:val="0"/>
          <w:lang w:val="en-US" w:eastAsia="zh-CN"/>
        </w:rPr>
      </w:pPr>
      <w:bookmarkStart w:id="26" w:name="_Toc30906"/>
      <w:r>
        <w:rPr>
          <w:rFonts w:hint="eastAsia" w:ascii="Arial" w:hAnsi="Arial"/>
          <w:b w:val="0"/>
          <w:lang w:val="en-US" w:eastAsia="zh-CN"/>
        </w:rPr>
        <w:t>（三）具体措施</w:t>
      </w:r>
      <w:bookmarkEnd w:id="26"/>
    </w:p>
    <w:p w14:paraId="5268891E">
      <w:pPr>
        <w:keepNext w:val="0"/>
        <w:keepLines w:val="0"/>
        <w:pageBreakBefore w:val="0"/>
        <w:widowControl w:val="0"/>
        <w:kinsoku/>
        <w:wordWrap/>
        <w:overflowPunct/>
        <w:topLinePunct w:val="0"/>
        <w:autoSpaceDE/>
        <w:autoSpaceDN/>
        <w:bidi w:val="0"/>
        <w:adjustRightInd/>
        <w:snapToGrid/>
        <w:spacing w:line="240" w:lineRule="auto"/>
        <w:ind w:left="0" w:leftChars="0" w:firstLine="643" w:firstLineChars="200"/>
        <w:jc w:val="both"/>
        <w:textAlignment w:val="auto"/>
        <w:rPr>
          <w:rFonts w:hint="eastAsia" w:ascii="仿宋" w:hAnsi="仿宋" w:eastAsia="仿宋" w:cs="仿宋"/>
          <w:b w:val="0"/>
          <w:bCs w:val="0"/>
          <w:sz w:val="32"/>
          <w:szCs w:val="32"/>
          <w:highlight w:val="none"/>
          <w:u w:val="none"/>
          <w:lang w:val="en-US" w:eastAsia="zh-CN"/>
        </w:rPr>
      </w:pPr>
      <w:r>
        <w:rPr>
          <w:rFonts w:hint="eastAsia" w:ascii="仿宋" w:hAnsi="仿宋" w:eastAsia="仿宋" w:cs="仿宋"/>
          <w:b/>
          <w:bCs/>
          <w:sz w:val="32"/>
          <w:szCs w:val="32"/>
          <w:highlight w:val="none"/>
          <w:u w:val="none"/>
          <w:lang w:val="en-US" w:eastAsia="zh-CN"/>
        </w:rPr>
        <w:t>1.搭建上行数字化“天网”。</w:t>
      </w:r>
      <w:r>
        <w:rPr>
          <w:rFonts w:hint="eastAsia" w:ascii="仿宋" w:hAnsi="仿宋" w:eastAsia="仿宋" w:cs="仿宋"/>
          <w:b w:val="0"/>
          <w:bCs w:val="0"/>
          <w:sz w:val="32"/>
          <w:szCs w:val="32"/>
          <w:highlight w:val="none"/>
          <w:u w:val="none"/>
          <w:lang w:val="en-US" w:eastAsia="zh-CN"/>
        </w:rPr>
        <w:t>对接省社平台（农产品销售、日用品采购、农资销售、“832”、供销e家等），入驻省社线上平台，开设线上鄂州特产馆，构建鄂州特色农产品线上展销矩阵。聚焦本地特色，采取“直播＋短视频＋电商”的方式，进行短视频和直播带货，拓展农产品进城通道，助力农产品上行。</w:t>
      </w:r>
    </w:p>
    <w:p w14:paraId="5A78DBA1">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auto"/>
        <w:rPr>
          <w:rFonts w:hint="eastAsia" w:ascii="仿宋" w:hAnsi="仿宋" w:eastAsia="仿宋" w:cs="仿宋"/>
          <w:bCs/>
          <w:sz w:val="32"/>
          <w:szCs w:val="32"/>
          <w:highlight w:val="none"/>
          <w:u w:val="none"/>
          <w:lang w:eastAsia="zh-CN"/>
        </w:rPr>
      </w:pPr>
      <w:r>
        <w:rPr>
          <w:rFonts w:hint="eastAsia" w:ascii="仿宋" w:hAnsi="仿宋" w:eastAsia="仿宋" w:cs="仿宋"/>
          <w:b/>
          <w:bCs/>
          <w:sz w:val="32"/>
          <w:szCs w:val="32"/>
          <w:highlight w:val="none"/>
          <w:u w:val="none"/>
          <w:lang w:val="en-US" w:eastAsia="zh-CN"/>
        </w:rPr>
        <w:t>2.</w:t>
      </w:r>
      <w:r>
        <w:rPr>
          <w:rFonts w:hint="eastAsia" w:ascii="仿宋" w:hAnsi="仿宋" w:eastAsia="仿宋" w:cs="仿宋"/>
          <w:b/>
          <w:bCs/>
          <w:sz w:val="32"/>
          <w:szCs w:val="32"/>
          <w:highlight w:val="none"/>
          <w:u w:val="none"/>
          <w:lang w:eastAsia="zh-CN"/>
        </w:rPr>
        <w:t>升级下行物流“地网”。</w:t>
      </w:r>
      <w:r>
        <w:rPr>
          <w:rFonts w:hint="eastAsia" w:ascii="仿宋" w:hAnsi="仿宋" w:eastAsia="仿宋" w:cs="仿宋"/>
          <w:bCs/>
          <w:sz w:val="32"/>
          <w:szCs w:val="32"/>
          <w:highlight w:val="none"/>
          <w:u w:val="none"/>
        </w:rPr>
        <w:t>完善城乡农产品流通体系，优化流通网络布局，创新流通服务方式，</w:t>
      </w:r>
      <w:r>
        <w:rPr>
          <w:rFonts w:hint="eastAsia" w:ascii="仿宋" w:hAnsi="仿宋" w:eastAsia="仿宋" w:cs="仿宋"/>
          <w:bCs/>
          <w:sz w:val="32"/>
          <w:szCs w:val="32"/>
          <w:highlight w:val="none"/>
          <w:u w:val="none"/>
          <w:lang w:eastAsia="zh-CN"/>
        </w:rPr>
        <w:t>拓展产销对接渠道，</w:t>
      </w:r>
      <w:r>
        <w:rPr>
          <w:rFonts w:hint="eastAsia" w:ascii="仿宋" w:hAnsi="仿宋" w:eastAsia="仿宋" w:cs="仿宋"/>
          <w:bCs/>
          <w:sz w:val="32"/>
          <w:szCs w:val="32"/>
          <w:highlight w:val="none"/>
          <w:u w:val="none"/>
        </w:rPr>
        <w:t>加快形成规模化、数字化、品牌化流通经营服务新格局</w:t>
      </w:r>
      <w:r>
        <w:rPr>
          <w:rFonts w:hint="eastAsia" w:ascii="仿宋" w:hAnsi="仿宋" w:eastAsia="仿宋" w:cs="仿宋"/>
          <w:bCs/>
          <w:sz w:val="32"/>
          <w:szCs w:val="32"/>
          <w:highlight w:val="none"/>
          <w:u w:val="none"/>
          <w:lang w:eastAsia="zh-CN"/>
        </w:rPr>
        <w:t>。</w:t>
      </w:r>
      <w:r>
        <w:rPr>
          <w:rFonts w:hint="eastAsia" w:ascii="仿宋" w:hAnsi="仿宋" w:eastAsia="仿宋" w:cs="仿宋"/>
          <w:bCs/>
          <w:sz w:val="32"/>
          <w:szCs w:val="32"/>
          <w:highlight w:val="none"/>
          <w:u w:val="none"/>
        </w:rPr>
        <w:t>夯实三级流通网络，进一步完善以流通骨干企业为支撑、</w:t>
      </w:r>
      <w:r>
        <w:rPr>
          <w:rFonts w:hint="eastAsia" w:ascii="仿宋" w:hAnsi="仿宋" w:eastAsia="仿宋" w:cs="仿宋"/>
          <w:bCs/>
          <w:sz w:val="32"/>
          <w:szCs w:val="32"/>
          <w:highlight w:val="none"/>
          <w:u w:val="none"/>
          <w:lang w:eastAsia="zh-CN"/>
        </w:rPr>
        <w:t>区</w:t>
      </w:r>
      <w:r>
        <w:rPr>
          <w:rFonts w:hint="eastAsia" w:ascii="仿宋" w:hAnsi="仿宋" w:eastAsia="仿宋" w:cs="仿宋"/>
          <w:bCs/>
          <w:sz w:val="32"/>
          <w:szCs w:val="32"/>
          <w:highlight w:val="none"/>
          <w:u w:val="none"/>
        </w:rPr>
        <w:t>为枢纽、乡镇为重点、村级为终端的流通服务网络，建设产业链和消费链融合的农产品一体化供销平台</w:t>
      </w:r>
      <w:r>
        <w:rPr>
          <w:rFonts w:hint="eastAsia" w:ascii="仿宋" w:hAnsi="仿宋" w:eastAsia="仿宋" w:cs="仿宋"/>
          <w:bCs/>
          <w:sz w:val="32"/>
          <w:szCs w:val="32"/>
          <w:highlight w:val="none"/>
          <w:u w:val="none"/>
          <w:lang w:eastAsia="zh-CN"/>
        </w:rPr>
        <w:t>。</w:t>
      </w:r>
      <w:r>
        <w:rPr>
          <w:rFonts w:hint="eastAsia" w:ascii="仿宋" w:hAnsi="仿宋" w:eastAsia="仿宋" w:cs="仿宋"/>
          <w:bCs/>
          <w:sz w:val="32"/>
          <w:szCs w:val="32"/>
          <w:highlight w:val="none"/>
          <w:u w:val="none"/>
        </w:rPr>
        <w:t>持续打通双向流通体系</w:t>
      </w:r>
      <w:r>
        <w:rPr>
          <w:rFonts w:hint="eastAsia" w:ascii="仿宋" w:hAnsi="仿宋" w:eastAsia="仿宋" w:cs="仿宋"/>
          <w:bCs/>
          <w:sz w:val="32"/>
          <w:szCs w:val="32"/>
          <w:highlight w:val="none"/>
          <w:u w:val="none"/>
          <w:lang w:eastAsia="zh-CN"/>
        </w:rPr>
        <w:t>，加强与邮政合作，合力推进“寄递物流”提档升级，不断促进农村寄递物流发展降本提质增效。</w:t>
      </w:r>
    </w:p>
    <w:p w14:paraId="40EEF669">
      <w:pPr>
        <w:keepNext w:val="0"/>
        <w:keepLines w:val="0"/>
        <w:pageBreakBefore w:val="0"/>
        <w:wordWrap/>
        <w:overflowPunct/>
        <w:topLinePunct w:val="0"/>
        <w:bidi w:val="0"/>
        <w:adjustRightInd/>
        <w:snapToGrid/>
        <w:spacing w:line="240" w:lineRule="auto"/>
        <w:ind w:left="0" w:leftChars="0" w:firstLine="643" w:firstLineChars="200"/>
        <w:jc w:val="both"/>
        <w:rPr>
          <w:rFonts w:hint="eastAsia" w:ascii="仿宋" w:hAnsi="仿宋" w:eastAsia="仿宋" w:cs="仿宋"/>
          <w:b w:val="0"/>
          <w:bCs w:val="0"/>
          <w:color w:val="auto"/>
          <w:sz w:val="32"/>
          <w:szCs w:val="32"/>
          <w:highlight w:val="none"/>
          <w:u w:val="none"/>
        </w:rPr>
      </w:pPr>
      <w:r>
        <w:rPr>
          <w:rFonts w:hint="eastAsia" w:ascii="仿宋" w:hAnsi="仿宋" w:eastAsia="仿宋" w:cs="仿宋"/>
          <w:b/>
          <w:bCs/>
          <w:sz w:val="32"/>
          <w:szCs w:val="32"/>
          <w:highlight w:val="none"/>
          <w:u w:val="none"/>
          <w:lang w:val="en-US" w:eastAsia="zh-CN"/>
        </w:rPr>
        <w:t>3.</w:t>
      </w:r>
      <w:r>
        <w:rPr>
          <w:rFonts w:hint="eastAsia" w:ascii="仿宋" w:hAnsi="仿宋" w:eastAsia="仿宋" w:cs="仿宋"/>
          <w:b/>
          <w:bCs/>
          <w:sz w:val="32"/>
          <w:szCs w:val="32"/>
          <w:highlight w:val="none"/>
          <w:u w:val="none"/>
          <w:lang w:eastAsia="zh-CN"/>
        </w:rPr>
        <w:t>实施农产品</w:t>
      </w:r>
      <w:r>
        <w:rPr>
          <w:rFonts w:hint="eastAsia" w:ascii="仿宋" w:hAnsi="仿宋" w:eastAsia="仿宋" w:cs="仿宋"/>
          <w:b/>
          <w:bCs/>
          <w:sz w:val="32"/>
          <w:szCs w:val="32"/>
          <w:highlight w:val="none"/>
          <w:u w:val="none"/>
        </w:rPr>
        <w:t>品牌提升工程</w:t>
      </w:r>
      <w:r>
        <w:rPr>
          <w:rFonts w:hint="eastAsia" w:ascii="仿宋" w:hAnsi="仿宋" w:eastAsia="仿宋" w:cs="仿宋"/>
          <w:b/>
          <w:bCs/>
          <w:sz w:val="32"/>
          <w:szCs w:val="32"/>
          <w:highlight w:val="none"/>
          <w:u w:val="none"/>
          <w:lang w:eastAsia="zh-CN"/>
        </w:rPr>
        <w:t>。</w:t>
      </w:r>
      <w:r>
        <w:rPr>
          <w:rFonts w:hint="eastAsia" w:ascii="仿宋" w:hAnsi="仿宋" w:eastAsia="仿宋" w:cs="仿宋"/>
          <w:color w:val="auto"/>
          <w:sz w:val="32"/>
          <w:szCs w:val="32"/>
          <w:highlight w:val="none"/>
          <w:u w:val="none"/>
          <w:lang w:eastAsia="zh-CN"/>
        </w:rPr>
        <w:t>聚焦鄂州农业优势产业，支持农产品经营企业加大品牌建设投入，全面推进品牌管理，促进品牌建设与企业经营良性互动，带动形成一批有供销合作社特色的农产品经营企业品牌。积极培育社有品牌，</w:t>
      </w:r>
      <w:r>
        <w:rPr>
          <w:rFonts w:hint="eastAsia" w:ascii="仿宋" w:hAnsi="仿宋" w:eastAsia="仿宋" w:cs="仿宋"/>
          <w:b w:val="0"/>
          <w:bCs w:val="0"/>
          <w:color w:val="auto"/>
          <w:sz w:val="32"/>
          <w:szCs w:val="32"/>
          <w:highlight w:val="none"/>
          <w:u w:val="none"/>
        </w:rPr>
        <w:t>构建以“供销社”公共品牌为统领，统筹区域特色、品类细分与渠道品牌，以“鄂合精选”作为集团优质农产品统一标识的核心产品品牌，打造“供销优品”产品矩阵，形成协同高效的多层级品牌体系。</w:t>
      </w:r>
      <w:r>
        <w:rPr>
          <w:rFonts w:hint="eastAsia" w:ascii="仿宋" w:hAnsi="仿宋" w:eastAsia="仿宋" w:cs="仿宋"/>
          <w:color w:val="auto"/>
          <w:sz w:val="32"/>
          <w:szCs w:val="32"/>
          <w:highlight w:val="none"/>
          <w:u w:val="none"/>
          <w:lang w:eastAsia="zh-CN"/>
        </w:rPr>
        <w:t>积极承接区域公用品牌管理运营，</w:t>
      </w:r>
      <w:r>
        <w:rPr>
          <w:rFonts w:hint="eastAsia" w:ascii="仿宋" w:hAnsi="仿宋" w:eastAsia="仿宋" w:cs="仿宋"/>
          <w:b w:val="0"/>
          <w:bCs w:val="0"/>
          <w:color w:val="auto"/>
          <w:sz w:val="32"/>
          <w:szCs w:val="32"/>
          <w:highlight w:val="none"/>
          <w:u w:val="none"/>
        </w:rPr>
        <w:t>健全</w:t>
      </w:r>
      <w:r>
        <w:rPr>
          <w:rFonts w:hint="eastAsia" w:ascii="仿宋" w:hAnsi="仿宋" w:eastAsia="仿宋" w:cs="仿宋"/>
          <w:b w:val="0"/>
          <w:bCs w:val="0"/>
          <w:color w:val="auto"/>
          <w:sz w:val="32"/>
          <w:szCs w:val="32"/>
          <w:highlight w:val="none"/>
          <w:u w:val="none"/>
          <w:lang w:eastAsia="zh-CN"/>
        </w:rPr>
        <w:t>社有</w:t>
      </w:r>
      <w:r>
        <w:rPr>
          <w:rFonts w:hint="eastAsia" w:ascii="仿宋" w:hAnsi="仿宋" w:eastAsia="仿宋" w:cs="仿宋"/>
          <w:b w:val="0"/>
          <w:bCs w:val="0"/>
          <w:color w:val="auto"/>
          <w:sz w:val="32"/>
          <w:szCs w:val="32"/>
          <w:highlight w:val="none"/>
          <w:u w:val="none"/>
        </w:rPr>
        <w:t>品牌管理机制，以品质立牌、服务兴牌，持续提升供销品牌影响力、市场竞争力。</w:t>
      </w:r>
    </w:p>
    <w:p w14:paraId="44016E0E">
      <w:pPr>
        <w:pStyle w:val="2"/>
        <w:rPr>
          <w:rFonts w:hint="eastAsia" w:ascii="仿宋" w:hAnsi="仿宋" w:eastAsia="仿宋" w:cs="仿宋"/>
          <w:b w:val="0"/>
          <w:bCs w:val="0"/>
          <w:color w:val="auto"/>
          <w:sz w:val="32"/>
          <w:szCs w:val="32"/>
          <w:highlight w:val="none"/>
          <w:u w:val="none"/>
        </w:rPr>
      </w:pPr>
    </w:p>
    <w:p w14:paraId="2DC54FA8">
      <w:pPr>
        <w:rPr>
          <w:rFonts w:hint="eastAsia"/>
          <w:lang w:val="en-US" w:eastAsia="zh-CN"/>
        </w:rPr>
      </w:pPr>
    </w:p>
    <w:tbl>
      <w:tblPr>
        <w:tblStyle w:val="13"/>
        <w:tblpPr w:leftFromText="180" w:rightFromText="180" w:vertAnchor="text" w:horzAnchor="page" w:tblpX="1816" w:tblpY="162"/>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234DB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522" w:type="dxa"/>
            <w:noWrap w:val="0"/>
            <w:vAlign w:val="top"/>
          </w:tcPr>
          <w:p w14:paraId="03813781">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default" w:ascii="仿宋_GB2312" w:hAnsi="仿宋_GB2312" w:eastAsia="黑体" w:cs="仿宋_GB2312"/>
                <w:b w:val="0"/>
                <w:bCs w:val="0"/>
                <w:sz w:val="32"/>
                <w:szCs w:val="32"/>
                <w:highlight w:val="none"/>
                <w:u w:val="none"/>
                <w:vertAlign w:val="baseline"/>
                <w:lang w:val="en-US" w:eastAsia="zh-CN"/>
              </w:rPr>
            </w:pPr>
            <w:r>
              <w:rPr>
                <w:rFonts w:hint="eastAsia" w:ascii="黑体" w:hAnsi="黑体" w:eastAsia="黑体" w:cs="黑体"/>
                <w:b w:val="0"/>
                <w:bCs w:val="0"/>
                <w:sz w:val="32"/>
                <w:szCs w:val="32"/>
                <w:highlight w:val="none"/>
                <w:u w:val="none"/>
                <w:vertAlign w:val="baseline"/>
                <w:lang w:val="en-US" w:eastAsia="zh-CN"/>
              </w:rPr>
              <w:t>项目专栏</w:t>
            </w:r>
          </w:p>
        </w:tc>
      </w:tr>
      <w:tr w14:paraId="0A5CE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trPr>
        <w:tc>
          <w:tcPr>
            <w:tcW w:w="8522" w:type="dxa"/>
            <w:noWrap w:val="0"/>
            <w:vAlign w:val="top"/>
          </w:tcPr>
          <w:p w14:paraId="421A7563">
            <w:pPr>
              <w:pStyle w:val="16"/>
              <w:keepNext w:val="0"/>
              <w:keepLines w:val="0"/>
              <w:pageBreakBefore w:val="0"/>
              <w:widowControl w:val="0"/>
              <w:kinsoku/>
              <w:wordWrap/>
              <w:overflowPunct/>
              <w:topLinePunct w:val="0"/>
              <w:autoSpaceDE w:val="0"/>
              <w:autoSpaceDN w:val="0"/>
              <w:bidi w:val="0"/>
              <w:adjustRightInd/>
              <w:snapToGrid/>
              <w:spacing w:line="600" w:lineRule="exact"/>
              <w:ind w:firstLine="640" w:firstLineChars="200"/>
              <w:jc w:val="both"/>
              <w:textAlignment w:val="auto"/>
              <w:rPr>
                <w:rFonts w:hint="default" w:ascii="仿宋_GB2312" w:hAnsi="仿宋_GB2312" w:eastAsia="仿宋_GB2312" w:cs="仿宋_GB2312"/>
                <w:i w:val="0"/>
                <w:iCs w:val="0"/>
                <w:color w:val="000000"/>
                <w:kern w:val="0"/>
                <w:sz w:val="32"/>
                <w:szCs w:val="32"/>
                <w:highlight w:val="none"/>
                <w:u w:val="none"/>
                <w:lang w:val="en-US" w:eastAsia="zh-CN" w:bidi="ar"/>
              </w:rPr>
            </w:pPr>
            <w:r>
              <w:rPr>
                <w:rFonts w:hint="eastAsia" w:ascii="黑体" w:hAnsi="黑体" w:eastAsia="黑体" w:cs="黑体"/>
                <w:b w:val="0"/>
                <w:bCs w:val="0"/>
                <w:color w:val="auto"/>
                <w:kern w:val="2"/>
                <w:sz w:val="32"/>
                <w:szCs w:val="32"/>
                <w:highlight w:val="none"/>
                <w:u w:val="none"/>
                <w:vertAlign w:val="baseline"/>
                <w:lang w:val="en-US" w:eastAsia="zh-CN" w:bidi="ar-SA"/>
              </w:rPr>
              <w:t>中国供销商贸流通保税项目：</w:t>
            </w:r>
            <w:r>
              <w:rPr>
                <w:rFonts w:hint="eastAsia" w:ascii="仿宋" w:hAnsi="仿宋" w:eastAsia="仿宋" w:cs="仿宋"/>
                <w:i w:val="0"/>
                <w:iCs w:val="0"/>
                <w:color w:val="000000"/>
                <w:kern w:val="0"/>
                <w:sz w:val="32"/>
                <w:szCs w:val="32"/>
                <w:highlight w:val="none"/>
                <w:u w:val="none"/>
                <w:lang w:val="en-US" w:eastAsia="zh-CN" w:bidi="ar"/>
              </w:rPr>
              <w:t>项目以保税为核心，依托花湖机场，以公、水、空多式联运为基础，打造保税中心仓、物资加工仓、冷链方仓、电商方仓，开展原材料、半成品加工，以及肉禽、高端果蔬等园区进出口相关业务。</w:t>
            </w:r>
          </w:p>
          <w:p w14:paraId="3552A57B">
            <w:pPr>
              <w:pStyle w:val="16"/>
              <w:keepNext w:val="0"/>
              <w:keepLines w:val="0"/>
              <w:pageBreakBefore w:val="0"/>
              <w:widowControl w:val="0"/>
              <w:kinsoku/>
              <w:wordWrap/>
              <w:overflowPunct/>
              <w:topLinePunct w:val="0"/>
              <w:autoSpaceDE w:val="0"/>
              <w:autoSpaceDN w:val="0"/>
              <w:bidi w:val="0"/>
              <w:adjustRightInd/>
              <w:snapToGrid/>
              <w:spacing w:line="600" w:lineRule="exact"/>
              <w:ind w:firstLine="640" w:firstLineChars="200"/>
              <w:jc w:val="both"/>
              <w:textAlignment w:val="auto"/>
              <w:rPr>
                <w:rFonts w:hint="eastAsia" w:ascii="仿宋_GB2312" w:hAnsi="仿宋_GB2312" w:eastAsia="仿宋_GB2312" w:cs="仿宋_GB2312"/>
                <w:i w:val="0"/>
                <w:iCs w:val="0"/>
                <w:color w:val="000000"/>
                <w:kern w:val="0"/>
                <w:sz w:val="32"/>
                <w:szCs w:val="32"/>
                <w:highlight w:val="none"/>
                <w:u w:val="none"/>
                <w:lang w:val="en-US" w:eastAsia="zh-CN" w:bidi="ar"/>
              </w:rPr>
            </w:pPr>
            <w:r>
              <w:rPr>
                <w:rFonts w:hint="eastAsia" w:ascii="黑体" w:hAnsi="黑体" w:eastAsia="黑体" w:cs="黑体"/>
                <w:i w:val="0"/>
                <w:iCs w:val="0"/>
                <w:color w:val="000000"/>
                <w:kern w:val="0"/>
                <w:sz w:val="32"/>
                <w:szCs w:val="32"/>
                <w:highlight w:val="none"/>
                <w:u w:val="none"/>
                <w:lang w:val="en-US" w:eastAsia="zh-CN" w:bidi="ar"/>
              </w:rPr>
              <w:t>武汉新城临空农产品交易市场：</w:t>
            </w:r>
            <w:r>
              <w:rPr>
                <w:rFonts w:hint="eastAsia" w:ascii="仿宋" w:hAnsi="仿宋" w:eastAsia="仿宋" w:cs="仿宋"/>
                <w:i w:val="0"/>
                <w:iCs w:val="0"/>
                <w:color w:val="000000"/>
                <w:kern w:val="0"/>
                <w:sz w:val="32"/>
                <w:szCs w:val="32"/>
                <w:highlight w:val="none"/>
                <w:u w:val="none"/>
                <w:lang w:val="en-US" w:eastAsia="zh-CN" w:bidi="ar"/>
              </w:rPr>
              <w:t>项目分两期建设，一期为农产品交易中心，二期北侧建设华中渔谷产业园，南侧建设冷链物流园。按照立足鄂州、辐射中部、服务全国、联动“一带一路”的定位，依托鄂州优势建设国内外联动、区域链接、产城融合、数字赋能的全国性农产品综合交易服务平台。该项目已被列入湖北省发改委、农业农村厅、商务厅2025年度重点项目，旨在打造华中地区农产品供保及安全食品保障中心和大型农产品物流疏散枢纽中心。</w:t>
            </w:r>
          </w:p>
          <w:p w14:paraId="5048BE26">
            <w:pPr>
              <w:pStyle w:val="16"/>
              <w:keepNext w:val="0"/>
              <w:keepLines w:val="0"/>
              <w:pageBreakBefore w:val="0"/>
              <w:widowControl w:val="0"/>
              <w:kinsoku/>
              <w:wordWrap/>
              <w:overflowPunct/>
              <w:topLinePunct w:val="0"/>
              <w:autoSpaceDE w:val="0"/>
              <w:autoSpaceDN w:val="0"/>
              <w:bidi w:val="0"/>
              <w:adjustRightInd/>
              <w:snapToGrid/>
              <w:spacing w:line="600" w:lineRule="exact"/>
              <w:ind w:firstLine="640" w:firstLineChars="200"/>
              <w:jc w:val="both"/>
              <w:textAlignment w:val="auto"/>
              <w:rPr>
                <w:rFonts w:hint="default" w:ascii="仿宋_GB2312" w:hAnsi="仿宋_GB2312" w:eastAsia="仿宋_GB2312" w:cs="仿宋_GB2312"/>
                <w:i w:val="0"/>
                <w:iCs w:val="0"/>
                <w:color w:val="000000"/>
                <w:kern w:val="0"/>
                <w:sz w:val="32"/>
                <w:szCs w:val="32"/>
                <w:highlight w:val="none"/>
                <w:u w:val="none"/>
                <w:lang w:val="en-US" w:eastAsia="zh-CN" w:bidi="ar"/>
              </w:rPr>
            </w:pPr>
            <w:r>
              <w:rPr>
                <w:rFonts w:hint="eastAsia" w:ascii="黑体" w:hAnsi="黑体" w:eastAsia="黑体" w:cs="黑体"/>
                <w:i w:val="0"/>
                <w:iCs w:val="0"/>
                <w:color w:val="000000"/>
                <w:kern w:val="0"/>
                <w:sz w:val="32"/>
                <w:szCs w:val="32"/>
                <w:highlight w:val="none"/>
                <w:u w:val="none"/>
                <w:lang w:val="en-US" w:eastAsia="zh-CN" w:bidi="ar"/>
              </w:rPr>
              <w:t>临空经济区农贸市场项目：</w:t>
            </w:r>
            <w:r>
              <w:rPr>
                <w:rFonts w:hint="eastAsia" w:ascii="仿宋" w:hAnsi="仿宋" w:eastAsia="仿宋" w:cs="仿宋"/>
                <w:i w:val="0"/>
                <w:iCs w:val="0"/>
                <w:color w:val="000000"/>
                <w:kern w:val="0"/>
                <w:sz w:val="32"/>
                <w:szCs w:val="32"/>
                <w:highlight w:val="none"/>
                <w:u w:val="none"/>
                <w:lang w:val="en-US" w:eastAsia="zh-CN" w:bidi="ar"/>
              </w:rPr>
              <w:t>完成项目主体建筑及配套设施建设，搭建线上商城系统、移动支付系统、食品安全追溯系统、大数据分析平台等在内的智慧交易系统。建成集蔬菜、水果、肉禽蛋、水产品、粮油副食、调味品、熟食卤味、土特产等农产品零售与批发于一体的现代化、多功能综合性农贸市场，兼顾社区生活服务功能。</w:t>
            </w:r>
          </w:p>
          <w:p w14:paraId="7C5FD8F4">
            <w:pPr>
              <w:pStyle w:val="16"/>
              <w:keepNext w:val="0"/>
              <w:keepLines w:val="0"/>
              <w:pageBreakBefore w:val="0"/>
              <w:widowControl w:val="0"/>
              <w:kinsoku/>
              <w:wordWrap/>
              <w:overflowPunct/>
              <w:topLinePunct w:val="0"/>
              <w:autoSpaceDE w:val="0"/>
              <w:autoSpaceDN w:val="0"/>
              <w:bidi w:val="0"/>
              <w:adjustRightInd/>
              <w:snapToGrid/>
              <w:spacing w:line="600" w:lineRule="exact"/>
              <w:ind w:firstLine="640" w:firstLineChars="200"/>
              <w:jc w:val="both"/>
              <w:textAlignment w:val="auto"/>
              <w:rPr>
                <w:rFonts w:hint="eastAsia" w:ascii="仿宋" w:hAnsi="仿宋" w:eastAsia="仿宋" w:cs="仿宋"/>
                <w:i w:val="0"/>
                <w:iCs w:val="0"/>
                <w:color w:val="000000"/>
                <w:kern w:val="0"/>
                <w:sz w:val="32"/>
                <w:szCs w:val="32"/>
                <w:highlight w:val="none"/>
                <w:u w:val="none"/>
                <w:lang w:val="en-US" w:eastAsia="zh-CN" w:bidi="ar"/>
              </w:rPr>
            </w:pPr>
            <w:r>
              <w:rPr>
                <w:rFonts w:hint="eastAsia" w:ascii="黑体" w:hAnsi="黑体" w:eastAsia="黑体" w:cs="黑体"/>
                <w:i w:val="0"/>
                <w:iCs w:val="0"/>
                <w:color w:val="000000"/>
                <w:kern w:val="0"/>
                <w:sz w:val="32"/>
                <w:szCs w:val="32"/>
                <w:highlight w:val="none"/>
                <w:u w:val="none"/>
                <w:lang w:val="en-US" w:eastAsia="zh-CN" w:bidi="ar"/>
              </w:rPr>
              <w:t>华容商场升级改造项目：</w:t>
            </w:r>
            <w:r>
              <w:rPr>
                <w:rFonts w:hint="eastAsia" w:ascii="仿宋" w:hAnsi="仿宋" w:eastAsia="仿宋" w:cs="仿宋"/>
                <w:i w:val="0"/>
                <w:iCs w:val="0"/>
                <w:color w:val="000000"/>
                <w:kern w:val="0"/>
                <w:sz w:val="32"/>
                <w:szCs w:val="32"/>
                <w:highlight w:val="none"/>
                <w:u w:val="none"/>
                <w:lang w:val="en-US" w:eastAsia="zh-CN" w:bidi="ar"/>
              </w:rPr>
              <w:t>完成华容商场整体结构加固与外观更新，引入智慧商业管理系统，提升商场数字化运营水平。建设集购物、休闲、文化体验于一体的多功能商业综合体，优化品牌结构，完善停车场、无障碍设施、绿色节能系统等配套设施，打造区域性消费新地标。</w:t>
            </w:r>
          </w:p>
          <w:p w14:paraId="609731A0">
            <w:pPr>
              <w:pStyle w:val="16"/>
              <w:keepNext w:val="0"/>
              <w:keepLines w:val="0"/>
              <w:pageBreakBefore w:val="0"/>
              <w:widowControl w:val="0"/>
              <w:kinsoku/>
              <w:wordWrap/>
              <w:overflowPunct/>
              <w:topLinePunct w:val="0"/>
              <w:autoSpaceDE w:val="0"/>
              <w:autoSpaceDN w:val="0"/>
              <w:bidi w:val="0"/>
              <w:adjustRightInd/>
              <w:snapToGrid/>
              <w:spacing w:line="600" w:lineRule="exact"/>
              <w:ind w:firstLine="640" w:firstLineChars="200"/>
              <w:jc w:val="both"/>
              <w:textAlignment w:val="auto"/>
              <w:rPr>
                <w:rFonts w:hint="default" w:ascii="仿宋" w:hAnsi="仿宋" w:eastAsia="仿宋" w:cs="仿宋"/>
                <w:i w:val="0"/>
                <w:iCs w:val="0"/>
                <w:color w:val="000000"/>
                <w:kern w:val="0"/>
                <w:sz w:val="32"/>
                <w:szCs w:val="32"/>
                <w:highlight w:val="none"/>
                <w:u w:val="none"/>
                <w:lang w:val="en-US" w:eastAsia="zh-CN" w:bidi="ar"/>
              </w:rPr>
            </w:pPr>
            <w:r>
              <w:rPr>
                <w:rFonts w:hint="default" w:ascii="黑体" w:hAnsi="黑体" w:eastAsia="黑体" w:cs="黑体"/>
                <w:i w:val="0"/>
                <w:iCs w:val="0"/>
                <w:color w:val="000000"/>
                <w:kern w:val="0"/>
                <w:sz w:val="32"/>
                <w:szCs w:val="32"/>
                <w:highlight w:val="none"/>
                <w:u w:val="none"/>
                <w:lang w:val="en-US" w:eastAsia="zh-CN" w:bidi="ar"/>
              </w:rPr>
              <w:t>汀祖供销商场改造乡镇综合商贸中心项目</w:t>
            </w:r>
            <w:r>
              <w:rPr>
                <w:rFonts w:hint="eastAsia" w:hAnsi="黑体" w:cs="黑体"/>
                <w:i w:val="0"/>
                <w:iCs w:val="0"/>
                <w:color w:val="000000"/>
                <w:kern w:val="0"/>
                <w:sz w:val="32"/>
                <w:szCs w:val="32"/>
                <w:highlight w:val="none"/>
                <w:u w:val="none"/>
                <w:lang w:val="en-US" w:eastAsia="zh-CN" w:bidi="ar"/>
              </w:rPr>
              <w:t>：</w:t>
            </w:r>
            <w:r>
              <w:rPr>
                <w:rFonts w:hint="eastAsia" w:ascii="仿宋" w:hAnsi="仿宋" w:eastAsia="仿宋" w:cs="仿宋"/>
                <w:i w:val="0"/>
                <w:iCs w:val="0"/>
                <w:color w:val="000000"/>
                <w:kern w:val="0"/>
                <w:sz w:val="32"/>
                <w:szCs w:val="32"/>
                <w:highlight w:val="none"/>
                <w:u w:val="none"/>
                <w:lang w:val="en-US" w:eastAsia="zh-CN" w:bidi="ar"/>
              </w:rPr>
              <w:t>完成供销商场功能转型与空间改造，实施基础设施升级，改善道路、停车场、排水系统等；推进建筑翻新与现代化改造，包括外立面更新、内部装修及结构加固；优化业态布局，引入超市、餐饮、便民服务等多元业态。同步升级冷链仓储、物流配送及信息化管理系统，增强农产品上行和工业品下行能力，配套建设便民服务区、文化广场、公共停车场，提升乡镇商业服务水平，促进城乡商业融合发展。</w:t>
            </w:r>
          </w:p>
          <w:p w14:paraId="6380CB0E">
            <w:pPr>
              <w:pStyle w:val="16"/>
              <w:keepNext w:val="0"/>
              <w:keepLines w:val="0"/>
              <w:pageBreakBefore w:val="0"/>
              <w:widowControl w:val="0"/>
              <w:kinsoku/>
              <w:wordWrap/>
              <w:overflowPunct/>
              <w:topLinePunct w:val="0"/>
              <w:autoSpaceDE w:val="0"/>
              <w:autoSpaceDN w:val="0"/>
              <w:bidi w:val="0"/>
              <w:adjustRightInd/>
              <w:snapToGrid/>
              <w:spacing w:line="600" w:lineRule="exact"/>
              <w:ind w:firstLine="640" w:firstLineChars="200"/>
              <w:jc w:val="both"/>
              <w:textAlignment w:val="auto"/>
              <w:rPr>
                <w:rFonts w:hint="eastAsia" w:ascii="仿宋" w:hAnsi="仿宋" w:eastAsia="仿宋" w:cs="仿宋"/>
                <w:i w:val="0"/>
                <w:iCs w:val="0"/>
                <w:color w:val="000000"/>
                <w:kern w:val="0"/>
                <w:sz w:val="32"/>
                <w:szCs w:val="32"/>
                <w:highlight w:val="none"/>
                <w:u w:val="none"/>
                <w:lang w:val="en-US" w:eastAsia="zh-CN" w:bidi="ar"/>
              </w:rPr>
            </w:pPr>
            <w:r>
              <w:rPr>
                <w:rFonts w:hint="eastAsia" w:ascii="黑体" w:hAnsi="黑体" w:eastAsia="黑体" w:cs="黑体"/>
                <w:i w:val="0"/>
                <w:iCs w:val="0"/>
                <w:color w:val="000000"/>
                <w:kern w:val="0"/>
                <w:sz w:val="32"/>
                <w:szCs w:val="32"/>
                <w:highlight w:val="none"/>
                <w:u w:val="none"/>
                <w:lang w:val="en-US" w:eastAsia="zh-CN" w:bidi="ar"/>
              </w:rPr>
              <w:t>沼山供销商场改造乡镇商贸中心项目：</w:t>
            </w:r>
            <w:r>
              <w:rPr>
                <w:rFonts w:hint="eastAsia" w:ascii="仿宋" w:hAnsi="仿宋" w:eastAsia="仿宋" w:cs="仿宋"/>
                <w:i w:val="0"/>
                <w:iCs w:val="0"/>
                <w:color w:val="000000"/>
                <w:kern w:val="0"/>
                <w:sz w:val="32"/>
                <w:szCs w:val="32"/>
                <w:highlight w:val="none"/>
                <w:u w:val="none"/>
                <w:lang w:val="en-US" w:eastAsia="zh-CN" w:bidi="ar"/>
              </w:rPr>
              <w:t>完成供销商场功能转型与空间改造，打造集商品零售、农副产品展销、电商服务、社区服务、文化娱乐于一体的乡镇综合性商贸中心。升级冷链仓储、物流配送、信息化管理系统，增强农产品上行和工业品下行能力。配套建设便民服务区、文化广场、公共停车场等设施，提升乡镇商业服务水平，促进农村消费升级和城乡商业融合发展。</w:t>
            </w:r>
          </w:p>
          <w:p w14:paraId="448AD463">
            <w:pPr>
              <w:pStyle w:val="16"/>
              <w:keepNext w:val="0"/>
              <w:keepLines w:val="0"/>
              <w:pageBreakBefore w:val="0"/>
              <w:widowControl w:val="0"/>
              <w:kinsoku/>
              <w:wordWrap/>
              <w:overflowPunct/>
              <w:topLinePunct w:val="0"/>
              <w:autoSpaceDE w:val="0"/>
              <w:autoSpaceDN w:val="0"/>
              <w:bidi w:val="0"/>
              <w:adjustRightInd/>
              <w:snapToGrid/>
              <w:spacing w:line="600" w:lineRule="exact"/>
              <w:ind w:firstLine="640" w:firstLineChars="200"/>
              <w:jc w:val="both"/>
              <w:textAlignment w:val="auto"/>
              <w:rPr>
                <w:rFonts w:hint="default" w:ascii="仿宋" w:hAnsi="仿宋" w:eastAsia="仿宋" w:cs="仿宋"/>
                <w:i w:val="0"/>
                <w:iCs w:val="0"/>
                <w:color w:val="000000"/>
                <w:kern w:val="0"/>
                <w:sz w:val="32"/>
                <w:szCs w:val="32"/>
                <w:highlight w:val="none"/>
                <w:u w:val="none"/>
                <w:lang w:val="en-US" w:eastAsia="zh-CN" w:bidi="ar"/>
              </w:rPr>
            </w:pPr>
            <w:r>
              <w:rPr>
                <w:rFonts w:hint="default" w:ascii="黑体" w:hAnsi="黑体" w:eastAsia="黑体" w:cs="黑体"/>
                <w:i w:val="0"/>
                <w:iCs w:val="0"/>
                <w:color w:val="000000"/>
                <w:kern w:val="0"/>
                <w:sz w:val="32"/>
                <w:szCs w:val="32"/>
                <w:highlight w:val="none"/>
                <w:u w:val="none"/>
                <w:lang w:val="en-US" w:eastAsia="zh-CN" w:bidi="ar"/>
              </w:rPr>
              <w:t>供销子坛加油站改造升级项目</w:t>
            </w:r>
            <w:r>
              <w:rPr>
                <w:rFonts w:hint="eastAsia" w:hAnsi="黑体" w:cs="黑体"/>
                <w:i w:val="0"/>
                <w:iCs w:val="0"/>
                <w:color w:val="000000"/>
                <w:kern w:val="0"/>
                <w:sz w:val="32"/>
                <w:szCs w:val="32"/>
                <w:highlight w:val="none"/>
                <w:u w:val="none"/>
                <w:lang w:val="en-US" w:eastAsia="zh-CN" w:bidi="ar"/>
              </w:rPr>
              <w:t>：</w:t>
            </w:r>
            <w:r>
              <w:rPr>
                <w:rFonts w:hint="eastAsia" w:ascii="仿宋" w:hAnsi="仿宋" w:eastAsia="仿宋" w:cs="仿宋"/>
                <w:i w:val="0"/>
                <w:iCs w:val="0"/>
                <w:color w:val="000000"/>
                <w:kern w:val="0"/>
                <w:sz w:val="32"/>
                <w:szCs w:val="32"/>
                <w:highlight w:val="none"/>
                <w:u w:val="none"/>
                <w:lang w:val="en-US" w:eastAsia="zh-CN" w:bidi="ar"/>
              </w:rPr>
              <w:t>实施设备更新改造，更新加油机、储油罐等设施，建立油气回收系统，提升安全环保水平。完善配套服务功能，增设便利店、司机休息区等便民设施，满足周边居民及过往车辆基本需求。融入乡镇商贸服务体系，加强与周边供销社网点、村级服务站的衔接，提升终端综合服务能力，更好服务所在乡镇生产生活。</w:t>
            </w:r>
          </w:p>
        </w:tc>
      </w:tr>
    </w:tbl>
    <w:p w14:paraId="3EB26E2C">
      <w:pPr>
        <w:pStyle w:val="3"/>
        <w:bidi w:val="0"/>
        <w:rPr>
          <w:rFonts w:hint="eastAsia"/>
          <w:lang w:val="en-US" w:eastAsia="zh-CN"/>
        </w:rPr>
      </w:pPr>
      <w:bookmarkStart w:id="27" w:name="_Toc18405"/>
      <w:r>
        <w:rPr>
          <w:rFonts w:hint="eastAsia"/>
          <w:lang w:val="en-US" w:eastAsia="zh-CN"/>
        </w:rPr>
        <w:t>六、加快建成“一市一品”“四大商（链）”，提升产业链“增值率”</w:t>
      </w:r>
      <w:bookmarkEnd w:id="27"/>
    </w:p>
    <w:p w14:paraId="663DBDA0">
      <w:pPr>
        <w:pStyle w:val="4"/>
        <w:bidi w:val="0"/>
        <w:ind w:firstLine="880"/>
        <w:rPr>
          <w:rFonts w:hint="eastAsia" w:ascii="Arial" w:hAnsi="Arial"/>
          <w:b w:val="0"/>
          <w:lang w:val="en-US" w:eastAsia="zh-CN"/>
        </w:rPr>
      </w:pPr>
      <w:bookmarkStart w:id="28" w:name="_Toc28941"/>
      <w:r>
        <w:rPr>
          <w:rFonts w:hint="eastAsia" w:ascii="Arial" w:hAnsi="Arial"/>
          <w:b w:val="0"/>
          <w:lang w:val="en-US" w:eastAsia="zh-CN"/>
        </w:rPr>
        <w:t>（一）任务目标</w:t>
      </w:r>
      <w:bookmarkEnd w:id="28"/>
    </w:p>
    <w:p w14:paraId="001552C0">
      <w:pPr>
        <w:keepNext w:val="0"/>
        <w:keepLines w:val="0"/>
        <w:pageBreakBefore w:val="0"/>
        <w:wordWrap/>
        <w:overflowPunct/>
        <w:topLinePunct w:val="0"/>
        <w:bidi w:val="0"/>
        <w:adjustRightInd/>
        <w:snapToGrid/>
        <w:spacing w:line="240" w:lineRule="auto"/>
        <w:ind w:firstLine="640" w:firstLineChars="200"/>
        <w:jc w:val="both"/>
        <w:rPr>
          <w:rFonts w:hint="eastAsia" w:ascii="仿宋" w:hAnsi="仿宋" w:eastAsia="仿宋" w:cs="仿宋"/>
          <w:b/>
          <w:bCs/>
          <w:i w:val="0"/>
          <w:iCs w:val="0"/>
          <w:caps w:val="0"/>
          <w:color w:val="0F1115"/>
          <w:spacing w:val="0"/>
          <w:sz w:val="32"/>
          <w:szCs w:val="32"/>
          <w:highlight w:val="none"/>
          <w:u w:val="none"/>
          <w:shd w:val="clear" w:color="auto" w:fill="FFFFFF"/>
          <w:lang w:val="en-US" w:eastAsia="zh-CN"/>
        </w:rPr>
      </w:pPr>
      <w:r>
        <w:rPr>
          <w:rFonts w:hint="eastAsia" w:ascii="仿宋" w:hAnsi="仿宋" w:eastAsia="仿宋" w:cs="仿宋"/>
          <w:sz w:val="32"/>
          <w:szCs w:val="32"/>
          <w:highlight w:val="none"/>
          <w:u w:val="none"/>
        </w:rPr>
        <w:t>到2030年（“十五五”末期），力争实现：</w:t>
      </w:r>
      <w:r>
        <w:rPr>
          <w:rFonts w:hint="eastAsia" w:ascii="仿宋" w:hAnsi="仿宋" w:eastAsia="仿宋" w:cs="仿宋"/>
          <w:sz w:val="32"/>
          <w:szCs w:val="32"/>
          <w:highlight w:val="none"/>
          <w:u w:val="none"/>
          <w:lang w:val="en-US" w:eastAsia="zh-CN"/>
        </w:rPr>
        <w:t>1.</w:t>
      </w:r>
      <w:r>
        <w:rPr>
          <w:rFonts w:hint="eastAsia" w:ascii="仿宋" w:hAnsi="仿宋" w:eastAsia="仿宋" w:cs="仿宋"/>
          <w:sz w:val="32"/>
          <w:szCs w:val="32"/>
          <w:highlight w:val="none"/>
          <w:u w:val="none"/>
        </w:rPr>
        <w:t>供销系统产业链综合服务市场份额占全市40%以上，培育1-2家年销售额超</w:t>
      </w:r>
      <w:r>
        <w:rPr>
          <w:rFonts w:hint="eastAsia" w:ascii="仿宋" w:hAnsi="仿宋" w:eastAsia="仿宋" w:cs="仿宋"/>
          <w:sz w:val="32"/>
          <w:szCs w:val="32"/>
          <w:highlight w:val="none"/>
          <w:u w:val="none"/>
          <w:lang w:val="en-US" w:eastAsia="zh-CN"/>
        </w:rPr>
        <w:t>1</w:t>
      </w:r>
      <w:r>
        <w:rPr>
          <w:rFonts w:hint="eastAsia" w:ascii="仿宋" w:hAnsi="仿宋" w:eastAsia="仿宋" w:cs="仿宋"/>
          <w:sz w:val="32"/>
          <w:szCs w:val="32"/>
          <w:highlight w:val="none"/>
          <w:u w:val="none"/>
        </w:rPr>
        <w:t>亿元的链主企业。</w:t>
      </w:r>
      <w:r>
        <w:rPr>
          <w:rFonts w:hint="eastAsia" w:ascii="仿宋" w:hAnsi="仿宋" w:eastAsia="仿宋" w:cs="仿宋"/>
          <w:sz w:val="32"/>
          <w:szCs w:val="32"/>
          <w:highlight w:val="none"/>
          <w:u w:val="none"/>
          <w:lang w:val="en-US" w:eastAsia="zh-CN"/>
        </w:rPr>
        <w:t>2.</w:t>
      </w:r>
      <w:r>
        <w:rPr>
          <w:rFonts w:hint="eastAsia" w:ascii="仿宋" w:hAnsi="仿宋" w:eastAsia="仿宋" w:cs="仿宋"/>
          <w:sz w:val="32"/>
          <w:szCs w:val="32"/>
          <w:highlight w:val="none"/>
          <w:u w:val="none"/>
        </w:rPr>
        <w:t>农业社会化服务面积覆盖全市适度规模经营土地的</w:t>
      </w:r>
      <w:r>
        <w:rPr>
          <w:rFonts w:hint="eastAsia" w:ascii="仿宋" w:hAnsi="仿宋" w:eastAsia="仿宋" w:cs="仿宋"/>
          <w:sz w:val="32"/>
          <w:szCs w:val="32"/>
          <w:highlight w:val="none"/>
          <w:u w:val="none"/>
          <w:lang w:val="en-US" w:eastAsia="zh-CN"/>
        </w:rPr>
        <w:t>60</w:t>
      </w:r>
      <w:r>
        <w:rPr>
          <w:rFonts w:hint="eastAsia" w:ascii="仿宋" w:hAnsi="仿宋" w:eastAsia="仿宋" w:cs="仿宋"/>
          <w:sz w:val="32"/>
          <w:szCs w:val="32"/>
          <w:highlight w:val="none"/>
          <w:u w:val="none"/>
        </w:rPr>
        <w:t>%以上，绿色农资市场占有率稳定在</w:t>
      </w:r>
      <w:r>
        <w:rPr>
          <w:rFonts w:hint="eastAsia" w:ascii="仿宋" w:hAnsi="仿宋" w:eastAsia="仿宋" w:cs="仿宋"/>
          <w:sz w:val="32"/>
          <w:szCs w:val="32"/>
          <w:highlight w:val="none"/>
          <w:u w:val="none"/>
          <w:lang w:val="en-US" w:eastAsia="zh-CN"/>
        </w:rPr>
        <w:t>50</w:t>
      </w:r>
      <w:r>
        <w:rPr>
          <w:rFonts w:hint="eastAsia" w:ascii="仿宋" w:hAnsi="仿宋" w:eastAsia="仿宋" w:cs="仿宋"/>
          <w:sz w:val="32"/>
          <w:szCs w:val="32"/>
          <w:highlight w:val="none"/>
          <w:u w:val="none"/>
        </w:rPr>
        <w:t>%以上</w:t>
      </w:r>
      <w:r>
        <w:rPr>
          <w:rFonts w:hint="eastAsia" w:ascii="仿宋" w:hAnsi="仿宋" w:eastAsia="仿宋" w:cs="仿宋"/>
          <w:sz w:val="32"/>
          <w:szCs w:val="32"/>
          <w:highlight w:val="none"/>
          <w:u w:val="none"/>
          <w:lang w:eastAsia="zh-CN"/>
        </w:rPr>
        <w:t>。</w:t>
      </w:r>
      <w:r>
        <w:rPr>
          <w:rFonts w:hint="eastAsia" w:ascii="仿宋" w:hAnsi="仿宋" w:eastAsia="仿宋" w:cs="仿宋"/>
          <w:sz w:val="32"/>
          <w:szCs w:val="32"/>
          <w:highlight w:val="none"/>
          <w:u w:val="none"/>
          <w:lang w:val="en-US" w:eastAsia="zh-CN"/>
        </w:rPr>
        <w:t>3.</w:t>
      </w:r>
      <w:r>
        <w:rPr>
          <w:rFonts w:hint="eastAsia" w:ascii="仿宋" w:hAnsi="仿宋" w:eastAsia="仿宋" w:cs="仿宋"/>
          <w:sz w:val="32"/>
          <w:szCs w:val="32"/>
          <w:highlight w:val="none"/>
          <w:u w:val="none"/>
        </w:rPr>
        <w:t>通过股份合作、二次返利等方式，带动超过5万户农户融入供销产业链，户均年增收15%以上。</w:t>
      </w:r>
    </w:p>
    <w:p w14:paraId="452767E7">
      <w:pPr>
        <w:pStyle w:val="4"/>
        <w:bidi w:val="0"/>
        <w:ind w:firstLine="880"/>
        <w:rPr>
          <w:rFonts w:hint="default" w:ascii="Arial" w:hAnsi="Arial"/>
          <w:b w:val="0"/>
          <w:lang w:val="en-US" w:eastAsia="zh-CN"/>
        </w:rPr>
      </w:pPr>
      <w:bookmarkStart w:id="29" w:name="_Toc23564"/>
      <w:r>
        <w:rPr>
          <w:rFonts w:hint="eastAsia" w:ascii="Arial" w:hAnsi="Arial"/>
          <w:b w:val="0"/>
          <w:lang w:val="en-US" w:eastAsia="zh-CN"/>
        </w:rPr>
        <w:t>（二）分年度计划</w:t>
      </w:r>
      <w:bookmarkEnd w:id="29"/>
    </w:p>
    <w:p w14:paraId="29AB7576">
      <w:pPr>
        <w:keepNext w:val="0"/>
        <w:keepLines w:val="0"/>
        <w:pageBreakBefore w:val="0"/>
        <w:wordWrap/>
        <w:overflowPunct/>
        <w:topLinePunct w:val="0"/>
        <w:bidi w:val="0"/>
        <w:adjustRightInd/>
        <w:snapToGrid/>
        <w:spacing w:line="240" w:lineRule="auto"/>
        <w:ind w:firstLine="640" w:firstLineChars="200"/>
        <w:jc w:val="both"/>
        <w:rPr>
          <w:rFonts w:hint="default" w:ascii="仿宋" w:hAnsi="仿宋" w:eastAsia="仿宋" w:cs="仿宋"/>
          <w:sz w:val="32"/>
          <w:szCs w:val="32"/>
          <w:highlight w:val="none"/>
          <w:u w:val="none"/>
          <w:lang w:val="en-US" w:eastAsia="zh-CN"/>
        </w:rPr>
      </w:pPr>
      <w:r>
        <w:rPr>
          <w:rFonts w:hint="default" w:ascii="仿宋" w:hAnsi="仿宋" w:eastAsia="仿宋" w:cs="仿宋"/>
          <w:sz w:val="32"/>
          <w:szCs w:val="32"/>
          <w:highlight w:val="none"/>
          <w:u w:val="none"/>
          <w:lang w:val="en-US" w:eastAsia="zh-CN"/>
        </w:rPr>
        <w:t>启动奠基期（202</w:t>
      </w:r>
      <w:r>
        <w:rPr>
          <w:rFonts w:hint="eastAsia" w:ascii="仿宋" w:hAnsi="仿宋" w:eastAsia="仿宋" w:cs="仿宋"/>
          <w:sz w:val="32"/>
          <w:szCs w:val="32"/>
          <w:highlight w:val="none"/>
          <w:u w:val="none"/>
          <w:lang w:val="en-US" w:eastAsia="zh-CN"/>
        </w:rPr>
        <w:t>6</w:t>
      </w:r>
      <w:r>
        <w:rPr>
          <w:rFonts w:hint="default" w:ascii="仿宋" w:hAnsi="仿宋" w:eastAsia="仿宋" w:cs="仿宋"/>
          <w:sz w:val="32"/>
          <w:szCs w:val="32"/>
          <w:highlight w:val="none"/>
          <w:u w:val="none"/>
          <w:lang w:val="en-US" w:eastAsia="zh-CN"/>
        </w:rPr>
        <w:t>-202</w:t>
      </w:r>
      <w:r>
        <w:rPr>
          <w:rFonts w:hint="eastAsia" w:ascii="仿宋" w:hAnsi="仿宋" w:eastAsia="仿宋" w:cs="仿宋"/>
          <w:sz w:val="32"/>
          <w:szCs w:val="32"/>
          <w:highlight w:val="none"/>
          <w:u w:val="none"/>
          <w:lang w:val="en-US" w:eastAsia="zh-CN"/>
        </w:rPr>
        <w:t>7</w:t>
      </w:r>
      <w:r>
        <w:rPr>
          <w:rFonts w:hint="default" w:ascii="仿宋" w:hAnsi="仿宋" w:eastAsia="仿宋" w:cs="仿宋"/>
          <w:sz w:val="32"/>
          <w:szCs w:val="32"/>
          <w:highlight w:val="none"/>
          <w:u w:val="none"/>
          <w:lang w:val="en-US" w:eastAsia="zh-CN"/>
        </w:rPr>
        <w:t>）</w:t>
      </w:r>
      <w:r>
        <w:rPr>
          <w:rFonts w:hint="eastAsia" w:ascii="仿宋" w:hAnsi="仿宋" w:eastAsia="仿宋" w:cs="仿宋"/>
          <w:sz w:val="32"/>
          <w:szCs w:val="32"/>
          <w:highlight w:val="none"/>
          <w:u w:val="none"/>
          <w:lang w:val="en-US" w:eastAsia="zh-CN"/>
        </w:rPr>
        <w:t>：</w:t>
      </w:r>
      <w:r>
        <w:rPr>
          <w:rFonts w:hint="default" w:ascii="仿宋" w:hAnsi="仿宋" w:eastAsia="仿宋" w:cs="仿宋"/>
          <w:sz w:val="32"/>
          <w:szCs w:val="32"/>
          <w:highlight w:val="none"/>
          <w:u w:val="none"/>
          <w:lang w:val="en-US" w:eastAsia="zh-CN"/>
        </w:rPr>
        <w:t>完成顶层设计，明确各产业链实施主体，启动核心园区和重点项目建设，“产业大脑”一期上线。力争“</w:t>
      </w:r>
      <w:r>
        <w:rPr>
          <w:rFonts w:hint="eastAsia" w:ascii="仿宋" w:hAnsi="仿宋" w:eastAsia="仿宋" w:cs="仿宋"/>
          <w:sz w:val="32"/>
          <w:szCs w:val="32"/>
          <w:highlight w:val="none"/>
          <w:u w:val="none"/>
          <w:lang w:val="en-US" w:eastAsia="zh-CN"/>
        </w:rPr>
        <w:t>四</w:t>
      </w:r>
      <w:r>
        <w:rPr>
          <w:rFonts w:hint="default" w:ascii="仿宋" w:hAnsi="仿宋" w:eastAsia="仿宋" w:cs="仿宋"/>
          <w:sz w:val="32"/>
          <w:szCs w:val="32"/>
          <w:highlight w:val="none"/>
          <w:u w:val="none"/>
          <w:lang w:val="en-US" w:eastAsia="zh-CN"/>
        </w:rPr>
        <w:t>大商”相关业务销售</w:t>
      </w:r>
      <w:r>
        <w:rPr>
          <w:rFonts w:hint="eastAsia" w:ascii="仿宋" w:hAnsi="仿宋" w:eastAsia="仿宋" w:cs="仿宋"/>
          <w:sz w:val="32"/>
          <w:szCs w:val="32"/>
          <w:highlight w:val="none"/>
          <w:u w:val="none"/>
          <w:lang w:val="en-US" w:eastAsia="zh-CN"/>
        </w:rPr>
        <w:t>规模</w:t>
      </w:r>
      <w:r>
        <w:rPr>
          <w:rFonts w:hint="default" w:ascii="仿宋" w:hAnsi="仿宋" w:eastAsia="仿宋" w:cs="仿宋"/>
          <w:sz w:val="32"/>
          <w:szCs w:val="32"/>
          <w:highlight w:val="none"/>
          <w:u w:val="none"/>
          <w:lang w:val="en-US" w:eastAsia="zh-CN"/>
        </w:rPr>
        <w:t>突破</w:t>
      </w:r>
      <w:r>
        <w:rPr>
          <w:rFonts w:hint="eastAsia" w:ascii="仿宋" w:hAnsi="仿宋" w:eastAsia="仿宋" w:cs="仿宋"/>
          <w:sz w:val="32"/>
          <w:szCs w:val="32"/>
          <w:highlight w:val="none"/>
          <w:u w:val="none"/>
          <w:lang w:val="en-US" w:eastAsia="zh-CN"/>
        </w:rPr>
        <w:t>3</w:t>
      </w:r>
      <w:r>
        <w:rPr>
          <w:rFonts w:hint="default" w:ascii="仿宋" w:hAnsi="仿宋" w:eastAsia="仿宋" w:cs="仿宋"/>
          <w:sz w:val="32"/>
          <w:szCs w:val="32"/>
          <w:highlight w:val="none"/>
          <w:u w:val="none"/>
          <w:lang w:val="en-US" w:eastAsia="zh-CN"/>
        </w:rPr>
        <w:t>亿元。</w:t>
      </w:r>
    </w:p>
    <w:p w14:paraId="4958C600">
      <w:pPr>
        <w:keepNext w:val="0"/>
        <w:keepLines w:val="0"/>
        <w:pageBreakBefore w:val="0"/>
        <w:wordWrap/>
        <w:overflowPunct/>
        <w:topLinePunct w:val="0"/>
        <w:bidi w:val="0"/>
        <w:adjustRightInd/>
        <w:snapToGrid/>
        <w:spacing w:line="240" w:lineRule="auto"/>
        <w:ind w:firstLine="640" w:firstLineChars="200"/>
        <w:jc w:val="both"/>
        <w:rPr>
          <w:rFonts w:hint="eastAsia" w:ascii="仿宋" w:hAnsi="仿宋" w:eastAsia="仿宋" w:cs="仿宋"/>
          <w:sz w:val="32"/>
          <w:szCs w:val="32"/>
          <w:highlight w:val="none"/>
          <w:u w:val="none"/>
          <w:lang w:val="en-US" w:eastAsia="zh-CN"/>
        </w:rPr>
      </w:pPr>
      <w:r>
        <w:rPr>
          <w:rFonts w:hint="default" w:ascii="仿宋" w:hAnsi="仿宋" w:eastAsia="仿宋" w:cs="仿宋"/>
          <w:sz w:val="32"/>
          <w:szCs w:val="32"/>
          <w:highlight w:val="none"/>
          <w:u w:val="none"/>
          <w:lang w:val="en-US" w:eastAsia="zh-CN"/>
        </w:rPr>
        <w:t>快速发展期（202</w:t>
      </w:r>
      <w:r>
        <w:rPr>
          <w:rFonts w:hint="eastAsia" w:ascii="仿宋" w:hAnsi="仿宋" w:eastAsia="仿宋" w:cs="仿宋"/>
          <w:sz w:val="32"/>
          <w:szCs w:val="32"/>
          <w:highlight w:val="none"/>
          <w:u w:val="none"/>
          <w:lang w:val="en-US" w:eastAsia="zh-CN"/>
        </w:rPr>
        <w:t>8</w:t>
      </w:r>
      <w:r>
        <w:rPr>
          <w:rFonts w:hint="default" w:ascii="仿宋" w:hAnsi="仿宋" w:eastAsia="仿宋" w:cs="仿宋"/>
          <w:sz w:val="32"/>
          <w:szCs w:val="32"/>
          <w:highlight w:val="none"/>
          <w:u w:val="none"/>
          <w:lang w:val="en-US" w:eastAsia="zh-CN"/>
        </w:rPr>
        <w:t>-202</w:t>
      </w:r>
      <w:r>
        <w:rPr>
          <w:rFonts w:hint="eastAsia" w:ascii="仿宋" w:hAnsi="仿宋" w:eastAsia="仿宋" w:cs="仿宋"/>
          <w:sz w:val="32"/>
          <w:szCs w:val="32"/>
          <w:highlight w:val="none"/>
          <w:u w:val="none"/>
          <w:lang w:val="en-US" w:eastAsia="zh-CN"/>
        </w:rPr>
        <w:t>9</w:t>
      </w:r>
      <w:r>
        <w:rPr>
          <w:rFonts w:hint="default" w:ascii="仿宋" w:hAnsi="仿宋" w:eastAsia="仿宋" w:cs="仿宋"/>
          <w:sz w:val="32"/>
          <w:szCs w:val="32"/>
          <w:highlight w:val="none"/>
          <w:u w:val="none"/>
          <w:lang w:val="en-US" w:eastAsia="zh-CN"/>
        </w:rPr>
        <w:t>）：核心产业链形成规模效应，链主企业竞争力凸显，数字赋能全面铺开，品牌影响力初步形成。相关业务销售</w:t>
      </w:r>
      <w:r>
        <w:rPr>
          <w:rFonts w:hint="eastAsia" w:ascii="仿宋" w:hAnsi="仿宋" w:eastAsia="仿宋" w:cs="仿宋"/>
          <w:sz w:val="32"/>
          <w:szCs w:val="32"/>
          <w:highlight w:val="none"/>
          <w:u w:val="none"/>
          <w:lang w:val="en-US" w:eastAsia="zh-CN"/>
        </w:rPr>
        <w:t>规模</w:t>
      </w:r>
      <w:r>
        <w:rPr>
          <w:rFonts w:hint="default" w:ascii="仿宋" w:hAnsi="仿宋" w:eastAsia="仿宋" w:cs="仿宋"/>
          <w:sz w:val="32"/>
          <w:szCs w:val="32"/>
          <w:highlight w:val="none"/>
          <w:u w:val="none"/>
          <w:lang w:val="en-US" w:eastAsia="zh-CN"/>
        </w:rPr>
        <w:t>向</w:t>
      </w:r>
      <w:r>
        <w:rPr>
          <w:rFonts w:hint="eastAsia" w:ascii="仿宋" w:hAnsi="仿宋" w:eastAsia="仿宋" w:cs="仿宋"/>
          <w:sz w:val="32"/>
          <w:szCs w:val="32"/>
          <w:highlight w:val="none"/>
          <w:u w:val="none"/>
          <w:lang w:val="en-US" w:eastAsia="zh-CN"/>
        </w:rPr>
        <w:t>5</w:t>
      </w:r>
      <w:r>
        <w:rPr>
          <w:rFonts w:hint="default" w:ascii="仿宋" w:hAnsi="仿宋" w:eastAsia="仿宋" w:cs="仿宋"/>
          <w:sz w:val="32"/>
          <w:szCs w:val="32"/>
          <w:highlight w:val="none"/>
          <w:u w:val="none"/>
          <w:lang w:val="en-US" w:eastAsia="zh-CN"/>
        </w:rPr>
        <w:t>亿元迈进。</w:t>
      </w:r>
    </w:p>
    <w:p w14:paraId="3F87567C">
      <w:pPr>
        <w:keepNext w:val="0"/>
        <w:keepLines w:val="0"/>
        <w:pageBreakBefore w:val="0"/>
        <w:wordWrap/>
        <w:overflowPunct/>
        <w:topLinePunct w:val="0"/>
        <w:bidi w:val="0"/>
        <w:adjustRightInd/>
        <w:snapToGrid/>
        <w:spacing w:line="240" w:lineRule="auto"/>
        <w:ind w:firstLine="640" w:firstLineChars="200"/>
        <w:jc w:val="both"/>
        <w:rPr>
          <w:rFonts w:hint="eastAsia" w:ascii="仿宋" w:hAnsi="仿宋" w:eastAsia="仿宋" w:cs="仿宋"/>
          <w:sz w:val="32"/>
          <w:szCs w:val="32"/>
          <w:highlight w:val="none"/>
          <w:u w:val="none"/>
          <w:lang w:val="en-US" w:eastAsia="zh-CN"/>
        </w:rPr>
      </w:pPr>
      <w:r>
        <w:rPr>
          <w:rFonts w:hint="default" w:ascii="仿宋" w:hAnsi="仿宋" w:eastAsia="仿宋" w:cs="仿宋"/>
          <w:sz w:val="32"/>
          <w:szCs w:val="32"/>
          <w:highlight w:val="none"/>
          <w:u w:val="none"/>
          <w:lang w:val="en-US" w:eastAsia="zh-CN"/>
        </w:rPr>
        <w:t>成熟引领期（2029-2030）：“一</w:t>
      </w:r>
      <w:r>
        <w:rPr>
          <w:rFonts w:hint="eastAsia" w:ascii="仿宋" w:hAnsi="仿宋" w:eastAsia="仿宋" w:cs="仿宋"/>
          <w:sz w:val="32"/>
          <w:szCs w:val="32"/>
          <w:highlight w:val="none"/>
          <w:u w:val="none"/>
          <w:lang w:val="en-US" w:eastAsia="zh-CN"/>
        </w:rPr>
        <w:t>引</w:t>
      </w:r>
      <w:r>
        <w:rPr>
          <w:rFonts w:hint="default" w:ascii="仿宋" w:hAnsi="仿宋" w:eastAsia="仿宋" w:cs="仿宋"/>
          <w:sz w:val="32"/>
          <w:szCs w:val="32"/>
          <w:highlight w:val="none"/>
          <w:u w:val="none"/>
          <w:lang w:val="en-US" w:eastAsia="zh-CN"/>
        </w:rPr>
        <w:t>三翼”产业矩阵全面建成，成为全省供销系统高质量发展的标杆，对地方经济和农民增收贡献度显著提升。全面达成2030年战略愿景。</w:t>
      </w:r>
    </w:p>
    <w:p w14:paraId="589ABB86">
      <w:pPr>
        <w:pStyle w:val="4"/>
        <w:bidi w:val="0"/>
        <w:ind w:firstLine="880"/>
        <w:rPr>
          <w:rFonts w:hint="eastAsia" w:ascii="Arial" w:hAnsi="Arial"/>
          <w:b w:val="0"/>
          <w:lang w:val="en-US" w:eastAsia="zh-CN"/>
        </w:rPr>
      </w:pPr>
      <w:bookmarkStart w:id="30" w:name="_Toc10326"/>
      <w:r>
        <w:rPr>
          <w:rFonts w:hint="eastAsia" w:ascii="Arial" w:hAnsi="Arial"/>
          <w:b w:val="0"/>
          <w:lang w:val="en-US" w:eastAsia="zh-CN"/>
        </w:rPr>
        <w:t>（三）主要举措</w:t>
      </w:r>
      <w:bookmarkEnd w:id="30"/>
    </w:p>
    <w:p w14:paraId="119E7121">
      <w:pPr>
        <w:keepNext w:val="0"/>
        <w:keepLines w:val="0"/>
        <w:pageBreakBefore w:val="0"/>
        <w:wordWrap/>
        <w:overflowPunct/>
        <w:topLinePunct w:val="0"/>
        <w:bidi w:val="0"/>
        <w:adjustRightInd/>
        <w:snapToGrid/>
        <w:spacing w:line="240" w:lineRule="auto"/>
        <w:ind w:firstLine="640" w:firstLineChars="200"/>
        <w:jc w:val="both"/>
        <w:rPr>
          <w:rFonts w:hint="default" w:ascii="仿宋" w:hAnsi="仿宋" w:eastAsia="仿宋" w:cs="仿宋"/>
          <w:sz w:val="32"/>
          <w:szCs w:val="32"/>
          <w:highlight w:val="none"/>
          <w:u w:val="none"/>
          <w:lang w:val="en-US" w:eastAsia="zh-CN"/>
        </w:rPr>
      </w:pPr>
      <w:r>
        <w:rPr>
          <w:rFonts w:hint="default" w:ascii="仿宋" w:hAnsi="仿宋" w:eastAsia="仿宋" w:cs="仿宋"/>
          <w:sz w:val="32"/>
          <w:szCs w:val="32"/>
          <w:highlight w:val="none"/>
          <w:u w:val="none"/>
          <w:lang w:val="en-US" w:eastAsia="zh-CN"/>
        </w:rPr>
        <w:t>聚焦“四商”突破，构建“一</w:t>
      </w:r>
      <w:r>
        <w:rPr>
          <w:rFonts w:hint="eastAsia" w:ascii="仿宋" w:hAnsi="仿宋" w:eastAsia="仿宋" w:cs="仿宋"/>
          <w:sz w:val="32"/>
          <w:szCs w:val="32"/>
          <w:highlight w:val="none"/>
          <w:u w:val="none"/>
          <w:lang w:val="en-US" w:eastAsia="zh-CN"/>
        </w:rPr>
        <w:t>引</w:t>
      </w:r>
      <w:r>
        <w:rPr>
          <w:rFonts w:hint="default" w:ascii="仿宋" w:hAnsi="仿宋" w:eastAsia="仿宋" w:cs="仿宋"/>
          <w:sz w:val="32"/>
          <w:szCs w:val="32"/>
          <w:highlight w:val="none"/>
          <w:u w:val="none"/>
          <w:lang w:val="en-US" w:eastAsia="zh-CN"/>
        </w:rPr>
        <w:t>三翼”产业矩阵</w:t>
      </w:r>
      <w:r>
        <w:rPr>
          <w:rFonts w:hint="eastAsia" w:ascii="仿宋" w:hAnsi="仿宋" w:eastAsia="仿宋" w:cs="仿宋"/>
          <w:sz w:val="32"/>
          <w:szCs w:val="32"/>
          <w:highlight w:val="none"/>
          <w:u w:val="none"/>
          <w:lang w:val="en-US" w:eastAsia="zh-CN"/>
        </w:rPr>
        <w:t>。结合本市实际，</w:t>
      </w:r>
      <w:r>
        <w:rPr>
          <w:rFonts w:hint="default" w:ascii="仿宋" w:hAnsi="仿宋" w:eastAsia="仿宋" w:cs="仿宋"/>
          <w:sz w:val="32"/>
          <w:szCs w:val="32"/>
          <w:highlight w:val="none"/>
          <w:u w:val="none"/>
          <w:lang w:val="en-US" w:eastAsia="zh-CN"/>
        </w:rPr>
        <w:t>以“大渔商”为引擎，以“大粮商”、“大菜商”、“大肥商”为三大支翼，形成特色鲜明、协同共进的“一</w:t>
      </w:r>
      <w:r>
        <w:rPr>
          <w:rFonts w:hint="eastAsia" w:ascii="仿宋" w:hAnsi="仿宋" w:eastAsia="仿宋" w:cs="仿宋"/>
          <w:sz w:val="32"/>
          <w:szCs w:val="32"/>
          <w:highlight w:val="none"/>
          <w:u w:val="none"/>
          <w:lang w:val="en-US" w:eastAsia="zh-CN"/>
        </w:rPr>
        <w:t>引</w:t>
      </w:r>
      <w:r>
        <w:rPr>
          <w:rFonts w:hint="default" w:ascii="仿宋" w:hAnsi="仿宋" w:eastAsia="仿宋" w:cs="仿宋"/>
          <w:sz w:val="32"/>
          <w:szCs w:val="32"/>
          <w:highlight w:val="none"/>
          <w:u w:val="none"/>
          <w:lang w:val="en-US" w:eastAsia="zh-CN"/>
        </w:rPr>
        <w:t>三翼”产业格局。</w:t>
      </w:r>
    </w:p>
    <w:p w14:paraId="461146F0">
      <w:pPr>
        <w:pStyle w:val="11"/>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Lines="0" w:beforeAutospacing="0" w:after="0" w:afterLines="0" w:afterAutospacing="0" w:line="240" w:lineRule="auto"/>
        <w:ind w:right="0" w:rightChars="0" w:firstLine="643" w:firstLineChars="200"/>
        <w:jc w:val="both"/>
        <w:textAlignment w:val="auto"/>
        <w:rPr>
          <w:rFonts w:hint="default" w:ascii="仿宋" w:hAnsi="仿宋" w:eastAsia="仿宋" w:cs="仿宋"/>
          <w:b/>
          <w:bCs/>
          <w:i w:val="0"/>
          <w:iCs w:val="0"/>
          <w:caps w:val="0"/>
          <w:color w:val="0F1115"/>
          <w:spacing w:val="0"/>
          <w:sz w:val="32"/>
          <w:szCs w:val="32"/>
          <w:highlight w:val="none"/>
          <w:u w:val="none"/>
          <w:shd w:val="clear" w:color="auto" w:fill="FFFFFF"/>
        </w:rPr>
      </w:pPr>
      <w:r>
        <w:rPr>
          <w:rFonts w:hint="default" w:ascii="仿宋" w:hAnsi="仿宋" w:eastAsia="仿宋" w:cs="仿宋"/>
          <w:b/>
          <w:bCs/>
          <w:i w:val="0"/>
          <w:iCs w:val="0"/>
          <w:caps w:val="0"/>
          <w:color w:val="0F1115"/>
          <w:spacing w:val="0"/>
          <w:sz w:val="32"/>
          <w:szCs w:val="32"/>
          <w:highlight w:val="none"/>
          <w:u w:val="none"/>
          <w:shd w:val="clear" w:color="auto" w:fill="FFFFFF"/>
        </w:rPr>
        <w:t>引擎：“大渔商” —— 打造长江中游淡水产品供应链组织中心</w:t>
      </w:r>
    </w:p>
    <w:p w14:paraId="2FDDEC34">
      <w:pPr>
        <w:pStyle w:val="11"/>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Lines="0" w:beforeAutospacing="0" w:after="0" w:afterLines="0" w:afterAutospacing="0" w:line="240" w:lineRule="auto"/>
        <w:ind w:right="0" w:rightChars="0" w:firstLine="643" w:firstLineChars="200"/>
        <w:jc w:val="both"/>
        <w:textAlignment w:val="auto"/>
        <w:rPr>
          <w:rFonts w:hint="default" w:ascii="仿宋" w:hAnsi="仿宋" w:eastAsia="仿宋" w:cs="仿宋"/>
          <w:b w:val="0"/>
          <w:bCs w:val="0"/>
          <w:i w:val="0"/>
          <w:iCs w:val="0"/>
          <w:caps w:val="0"/>
          <w:color w:val="0F1115"/>
          <w:spacing w:val="0"/>
          <w:sz w:val="32"/>
          <w:szCs w:val="32"/>
          <w:highlight w:val="none"/>
          <w:u w:val="none"/>
          <w:shd w:val="clear" w:color="auto" w:fill="FFFFFF"/>
          <w:lang w:val="en-US" w:eastAsia="zh-CN"/>
        </w:rPr>
      </w:pPr>
      <w:r>
        <w:rPr>
          <w:rFonts w:hint="eastAsia" w:ascii="仿宋" w:hAnsi="仿宋" w:eastAsia="仿宋" w:cs="仿宋"/>
          <w:b/>
          <w:bCs/>
          <w:i w:val="0"/>
          <w:iCs w:val="0"/>
          <w:caps w:val="0"/>
          <w:color w:val="0F1115"/>
          <w:spacing w:val="0"/>
          <w:sz w:val="32"/>
          <w:szCs w:val="32"/>
          <w:highlight w:val="none"/>
          <w:u w:val="none"/>
          <w:shd w:val="clear" w:color="auto" w:fill="FFFFFF"/>
          <w:lang w:val="en-US" w:eastAsia="zh-CN"/>
        </w:rPr>
        <w:t>1.</w:t>
      </w:r>
      <w:r>
        <w:rPr>
          <w:rFonts w:hint="default" w:ascii="仿宋" w:hAnsi="仿宋" w:eastAsia="仿宋" w:cs="仿宋"/>
          <w:b/>
          <w:bCs/>
          <w:i w:val="0"/>
          <w:iCs w:val="0"/>
          <w:caps w:val="0"/>
          <w:color w:val="0F1115"/>
          <w:spacing w:val="0"/>
          <w:sz w:val="32"/>
          <w:szCs w:val="32"/>
          <w:highlight w:val="none"/>
          <w:u w:val="none"/>
          <w:shd w:val="clear" w:color="auto" w:fill="FFFFFF"/>
          <w:lang w:val="en-US" w:eastAsia="zh-CN"/>
        </w:rPr>
        <w:t>高标准建设“梁子湖生态渔业示范区”</w:t>
      </w:r>
      <w:r>
        <w:rPr>
          <w:rFonts w:hint="eastAsia" w:ascii="仿宋" w:hAnsi="仿宋" w:eastAsia="仿宋" w:cs="仿宋"/>
          <w:b/>
          <w:bCs/>
          <w:i w:val="0"/>
          <w:iCs w:val="0"/>
          <w:caps w:val="0"/>
          <w:color w:val="0F1115"/>
          <w:spacing w:val="0"/>
          <w:sz w:val="32"/>
          <w:szCs w:val="32"/>
          <w:highlight w:val="none"/>
          <w:u w:val="none"/>
          <w:shd w:val="clear" w:color="auto" w:fill="FFFFFF"/>
          <w:lang w:val="en-US" w:eastAsia="zh-CN"/>
        </w:rPr>
        <w:t>。</w:t>
      </w:r>
      <w:r>
        <w:rPr>
          <w:rFonts w:hint="default" w:ascii="仿宋" w:hAnsi="仿宋" w:eastAsia="仿宋" w:cs="仿宋"/>
          <w:b w:val="0"/>
          <w:bCs w:val="0"/>
          <w:i w:val="0"/>
          <w:iCs w:val="0"/>
          <w:caps w:val="0"/>
          <w:color w:val="0F1115"/>
          <w:spacing w:val="0"/>
          <w:sz w:val="32"/>
          <w:szCs w:val="32"/>
          <w:highlight w:val="none"/>
          <w:u w:val="none"/>
          <w:shd w:val="clear" w:color="auto" w:fill="FFFFFF"/>
          <w:lang w:val="en-US" w:eastAsia="zh-CN"/>
        </w:rPr>
        <w:t>联合省水生所等科研机构，在梁子湖流域推广“人放天养”生态增殖与陆基循环水高效养殖相结合的“鄂州模式”。规划建设3-5个总面积超万亩的标准化、可追溯的智慧渔业产业园。争取省级支持，联合建设“武昌鱼等特色水产种质资源保护与繁育中心”，从源头掌握产业核心竞争力。在梁子湖畔规划建设“鄂州供销水产精深加工园”，引进即食武昌鱼、调味虾蟹、鱼糜制品、生物提取（如胶原蛋白）等生产线。</w:t>
      </w:r>
      <w:r>
        <w:rPr>
          <w:rFonts w:hint="eastAsia" w:ascii="仿宋" w:hAnsi="仿宋" w:eastAsia="仿宋" w:cs="仿宋"/>
          <w:b w:val="0"/>
          <w:bCs w:val="0"/>
          <w:i w:val="0"/>
          <w:iCs w:val="0"/>
          <w:caps w:val="0"/>
          <w:color w:val="0F1115"/>
          <w:spacing w:val="0"/>
          <w:sz w:val="32"/>
          <w:szCs w:val="32"/>
          <w:highlight w:val="none"/>
          <w:u w:val="none"/>
          <w:shd w:val="clear" w:color="auto" w:fill="FFFFFF"/>
          <w:lang w:val="en-US" w:eastAsia="zh-CN"/>
        </w:rPr>
        <w:t>积极</w:t>
      </w:r>
      <w:r>
        <w:rPr>
          <w:rFonts w:hint="default" w:ascii="仿宋" w:hAnsi="仿宋" w:eastAsia="仿宋" w:cs="仿宋"/>
          <w:b w:val="0"/>
          <w:bCs w:val="0"/>
          <w:i w:val="0"/>
          <w:iCs w:val="0"/>
          <w:caps w:val="0"/>
          <w:color w:val="0F1115"/>
          <w:spacing w:val="0"/>
          <w:sz w:val="32"/>
          <w:szCs w:val="32"/>
          <w:highlight w:val="none"/>
          <w:u w:val="none"/>
          <w:shd w:val="clear" w:color="auto" w:fill="FFFFFF"/>
          <w:lang w:val="en-US" w:eastAsia="zh-CN"/>
        </w:rPr>
        <w:t>推动生产线更加安全、可控，将初级产品商品化率提升至80%以上。</w:t>
      </w:r>
    </w:p>
    <w:p w14:paraId="3F2A2D0F">
      <w:pPr>
        <w:pStyle w:val="11"/>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643" w:firstLineChars="200"/>
        <w:jc w:val="both"/>
        <w:textAlignment w:val="auto"/>
        <w:rPr>
          <w:rFonts w:hint="default" w:ascii="仿宋" w:hAnsi="仿宋" w:eastAsia="仿宋" w:cs="仿宋"/>
          <w:b w:val="0"/>
          <w:bCs w:val="0"/>
          <w:i w:val="0"/>
          <w:iCs w:val="0"/>
          <w:caps w:val="0"/>
          <w:color w:val="0F1115"/>
          <w:spacing w:val="0"/>
          <w:sz w:val="32"/>
          <w:szCs w:val="32"/>
          <w:highlight w:val="none"/>
          <w:u w:val="none"/>
          <w:shd w:val="clear" w:color="auto" w:fill="FFFFFF"/>
        </w:rPr>
      </w:pPr>
      <w:r>
        <w:rPr>
          <w:rFonts w:hint="eastAsia" w:ascii="仿宋" w:hAnsi="仿宋" w:eastAsia="仿宋" w:cs="仿宋"/>
          <w:b/>
          <w:bCs/>
          <w:i w:val="0"/>
          <w:iCs w:val="0"/>
          <w:caps w:val="0"/>
          <w:color w:val="0F1115"/>
          <w:spacing w:val="0"/>
          <w:sz w:val="32"/>
          <w:szCs w:val="32"/>
          <w:highlight w:val="none"/>
          <w:u w:val="none"/>
          <w:shd w:val="clear" w:color="auto" w:fill="FFFFFF"/>
          <w:lang w:val="en-US" w:eastAsia="zh-CN"/>
        </w:rPr>
        <w:t>2.</w:t>
      </w:r>
      <w:r>
        <w:rPr>
          <w:rFonts w:hint="default" w:ascii="仿宋" w:hAnsi="仿宋" w:eastAsia="仿宋" w:cs="仿宋"/>
          <w:b/>
          <w:bCs/>
          <w:i w:val="0"/>
          <w:iCs w:val="0"/>
          <w:caps w:val="0"/>
          <w:color w:val="0F1115"/>
          <w:spacing w:val="0"/>
          <w:sz w:val="32"/>
          <w:szCs w:val="32"/>
          <w:highlight w:val="none"/>
          <w:u w:val="none"/>
          <w:shd w:val="clear" w:color="auto" w:fill="FFFFFF"/>
        </w:rPr>
        <w:t>升级改造现有冷链设施</w:t>
      </w:r>
      <w:r>
        <w:rPr>
          <w:rFonts w:hint="eastAsia" w:ascii="仿宋" w:hAnsi="仿宋" w:eastAsia="仿宋" w:cs="仿宋"/>
          <w:b/>
          <w:bCs/>
          <w:i w:val="0"/>
          <w:iCs w:val="0"/>
          <w:caps w:val="0"/>
          <w:color w:val="0F1115"/>
          <w:spacing w:val="0"/>
          <w:sz w:val="32"/>
          <w:szCs w:val="32"/>
          <w:highlight w:val="none"/>
          <w:u w:val="none"/>
          <w:shd w:val="clear" w:color="auto" w:fill="FFFFFF"/>
          <w:lang w:eastAsia="zh-CN"/>
        </w:rPr>
        <w:t>。</w:t>
      </w:r>
      <w:r>
        <w:rPr>
          <w:rFonts w:hint="default" w:ascii="仿宋" w:hAnsi="仿宋" w:eastAsia="仿宋" w:cs="仿宋"/>
          <w:b w:val="0"/>
          <w:bCs w:val="0"/>
          <w:i w:val="0"/>
          <w:iCs w:val="0"/>
          <w:caps w:val="0"/>
          <w:color w:val="0F1115"/>
          <w:spacing w:val="0"/>
          <w:sz w:val="32"/>
          <w:szCs w:val="32"/>
          <w:highlight w:val="none"/>
          <w:u w:val="none"/>
          <w:shd w:val="clear" w:color="auto" w:fill="FFFFFF"/>
        </w:rPr>
        <w:t>形成“产地仓（梁子湖、三山湖）—区域中心仓（临空经济区）—城市前置仓（武汉及周边）”三级冷链配送网络。着力打造“鄂州鲜鱼”“武昌鱼+”城市IP垂直电商平台和直播基地，依托花湖机场全球货运枢纽优势，开发高品质冰鲜水产的航空快运业务，推出“活鱼到家”冷链配送服务。实现“今天出水，明晚上桌”（全国主要城市）。</w:t>
      </w:r>
    </w:p>
    <w:p w14:paraId="1703FDC8">
      <w:pPr>
        <w:pStyle w:val="11"/>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643" w:firstLineChars="200"/>
        <w:jc w:val="both"/>
        <w:textAlignment w:val="auto"/>
        <w:rPr>
          <w:rFonts w:hint="eastAsia" w:ascii="仿宋" w:hAnsi="仿宋" w:eastAsia="仿宋" w:cs="仿宋"/>
          <w:b w:val="0"/>
          <w:bCs w:val="0"/>
          <w:i w:val="0"/>
          <w:iCs w:val="0"/>
          <w:caps w:val="0"/>
          <w:color w:val="0F1115"/>
          <w:spacing w:val="0"/>
          <w:sz w:val="32"/>
          <w:szCs w:val="32"/>
          <w:highlight w:val="none"/>
          <w:u w:val="none"/>
          <w:shd w:val="clear" w:color="auto" w:fill="FFFFFF"/>
        </w:rPr>
      </w:pPr>
      <w:r>
        <w:rPr>
          <w:rFonts w:hint="eastAsia" w:ascii="仿宋" w:hAnsi="仿宋" w:eastAsia="仿宋" w:cs="仿宋"/>
          <w:b/>
          <w:bCs/>
          <w:i w:val="0"/>
          <w:iCs w:val="0"/>
          <w:caps w:val="0"/>
          <w:color w:val="0F1115"/>
          <w:spacing w:val="0"/>
          <w:sz w:val="32"/>
          <w:szCs w:val="32"/>
          <w:highlight w:val="none"/>
          <w:u w:val="none"/>
          <w:shd w:val="clear" w:color="auto" w:fill="FFFFFF"/>
          <w:lang w:val="en-US" w:eastAsia="zh-CN"/>
        </w:rPr>
        <w:t>3.</w:t>
      </w:r>
      <w:r>
        <w:rPr>
          <w:rFonts w:hint="default" w:ascii="仿宋" w:hAnsi="仿宋" w:eastAsia="仿宋" w:cs="仿宋"/>
          <w:b/>
          <w:bCs/>
          <w:i w:val="0"/>
          <w:iCs w:val="0"/>
          <w:caps w:val="0"/>
          <w:color w:val="0F1115"/>
          <w:spacing w:val="0"/>
          <w:sz w:val="32"/>
          <w:szCs w:val="32"/>
          <w:highlight w:val="none"/>
          <w:u w:val="none"/>
          <w:shd w:val="clear" w:color="auto" w:fill="FFFFFF"/>
        </w:rPr>
        <w:t>创新“渔业产业化联合体”模式</w:t>
      </w:r>
      <w:r>
        <w:rPr>
          <w:rFonts w:hint="eastAsia" w:ascii="仿宋" w:hAnsi="仿宋" w:eastAsia="仿宋" w:cs="仿宋"/>
          <w:b/>
          <w:bCs/>
          <w:i w:val="0"/>
          <w:iCs w:val="0"/>
          <w:caps w:val="0"/>
          <w:color w:val="0F1115"/>
          <w:spacing w:val="0"/>
          <w:sz w:val="32"/>
          <w:szCs w:val="32"/>
          <w:highlight w:val="none"/>
          <w:u w:val="none"/>
          <w:shd w:val="clear" w:color="auto" w:fill="FFFFFF"/>
          <w:lang w:eastAsia="zh-CN"/>
        </w:rPr>
        <w:t>。</w:t>
      </w:r>
      <w:r>
        <w:rPr>
          <w:rFonts w:hint="default" w:ascii="仿宋" w:hAnsi="仿宋" w:eastAsia="仿宋" w:cs="仿宋"/>
          <w:b w:val="0"/>
          <w:bCs w:val="0"/>
          <w:i w:val="0"/>
          <w:iCs w:val="0"/>
          <w:caps w:val="0"/>
          <w:color w:val="0F1115"/>
          <w:spacing w:val="0"/>
          <w:sz w:val="32"/>
          <w:szCs w:val="32"/>
          <w:highlight w:val="none"/>
          <w:u w:val="none"/>
          <w:shd w:val="clear" w:color="auto" w:fill="FFFFFF"/>
        </w:rPr>
        <w:t>由供销社龙头企业牵头，联合养殖大户、加工企业、科研单位、金融机构，形成“统一苗种、统一饲料、统一标准、统一品牌、统一销售、风险共担、利益共享”的紧密型联合体。</w:t>
      </w:r>
    </w:p>
    <w:p w14:paraId="3EE4E01C">
      <w:pPr>
        <w:pStyle w:val="11"/>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643" w:firstLineChars="200"/>
        <w:jc w:val="both"/>
        <w:textAlignment w:val="auto"/>
        <w:rPr>
          <w:rFonts w:hint="eastAsia" w:ascii="仿宋" w:hAnsi="仿宋" w:eastAsia="仿宋" w:cs="仿宋"/>
          <w:b w:val="0"/>
          <w:bCs w:val="0"/>
          <w:i w:val="0"/>
          <w:iCs w:val="0"/>
          <w:caps w:val="0"/>
          <w:color w:val="0F1115"/>
          <w:spacing w:val="0"/>
          <w:sz w:val="32"/>
          <w:szCs w:val="32"/>
          <w:highlight w:val="none"/>
          <w:u w:val="none"/>
          <w:shd w:val="clear" w:color="auto" w:fill="FFFFFF"/>
        </w:rPr>
      </w:pPr>
      <w:r>
        <w:rPr>
          <w:rFonts w:hint="default" w:ascii="仿宋" w:hAnsi="仿宋" w:eastAsia="仿宋" w:cs="仿宋"/>
          <w:b/>
          <w:bCs/>
          <w:i w:val="0"/>
          <w:iCs w:val="0"/>
          <w:caps w:val="0"/>
          <w:color w:val="0F1115"/>
          <w:spacing w:val="0"/>
          <w:sz w:val="32"/>
          <w:szCs w:val="32"/>
          <w:highlight w:val="none"/>
          <w:u w:val="none"/>
          <w:shd w:val="clear" w:color="auto" w:fill="FFFFFF"/>
        </w:rPr>
        <w:t>支翼</w:t>
      </w:r>
      <w:r>
        <w:rPr>
          <w:rFonts w:hint="eastAsia" w:ascii="仿宋" w:hAnsi="仿宋" w:eastAsia="仿宋" w:cs="仿宋"/>
          <w:b/>
          <w:bCs/>
          <w:i w:val="0"/>
          <w:iCs w:val="0"/>
          <w:caps w:val="0"/>
          <w:color w:val="0F1115"/>
          <w:spacing w:val="0"/>
          <w:sz w:val="32"/>
          <w:szCs w:val="32"/>
          <w:highlight w:val="none"/>
          <w:u w:val="none"/>
          <w:shd w:val="clear" w:color="auto" w:fill="FFFFFF"/>
          <w:lang w:val="en-US" w:eastAsia="zh-CN"/>
        </w:rPr>
        <w:t>一</w:t>
      </w:r>
      <w:r>
        <w:rPr>
          <w:rFonts w:hint="default" w:ascii="仿宋" w:hAnsi="仿宋" w:eastAsia="仿宋" w:cs="仿宋"/>
          <w:b/>
          <w:bCs/>
          <w:i w:val="0"/>
          <w:iCs w:val="0"/>
          <w:caps w:val="0"/>
          <w:color w:val="0F1115"/>
          <w:spacing w:val="0"/>
          <w:sz w:val="32"/>
          <w:szCs w:val="32"/>
          <w:highlight w:val="none"/>
          <w:u w:val="none"/>
          <w:shd w:val="clear" w:color="auto" w:fill="FFFFFF"/>
        </w:rPr>
        <w:t>：“大粮商”——建设都市圈优质粮油食品保障基地</w:t>
      </w:r>
    </w:p>
    <w:p w14:paraId="39661DA3">
      <w:pPr>
        <w:pStyle w:val="11"/>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643" w:firstLineChars="200"/>
        <w:jc w:val="both"/>
        <w:textAlignment w:val="auto"/>
        <w:rPr>
          <w:rFonts w:hint="default" w:ascii="仿宋" w:hAnsi="仿宋" w:eastAsia="仿宋" w:cs="仿宋"/>
          <w:b w:val="0"/>
          <w:bCs w:val="0"/>
          <w:i w:val="0"/>
          <w:iCs w:val="0"/>
          <w:caps w:val="0"/>
          <w:color w:val="0F1115"/>
          <w:spacing w:val="0"/>
          <w:sz w:val="32"/>
          <w:szCs w:val="32"/>
          <w:highlight w:val="none"/>
          <w:u w:val="none"/>
          <w:shd w:val="clear" w:color="auto" w:fill="FFFFFF"/>
        </w:rPr>
      </w:pPr>
      <w:r>
        <w:rPr>
          <w:rFonts w:hint="eastAsia" w:ascii="仿宋" w:hAnsi="仿宋" w:eastAsia="仿宋" w:cs="仿宋"/>
          <w:b/>
          <w:bCs/>
          <w:i w:val="0"/>
          <w:iCs w:val="0"/>
          <w:caps w:val="0"/>
          <w:color w:val="0F1115"/>
          <w:spacing w:val="0"/>
          <w:sz w:val="32"/>
          <w:szCs w:val="32"/>
          <w:highlight w:val="none"/>
          <w:u w:val="none"/>
          <w:shd w:val="clear" w:color="auto" w:fill="FFFFFF"/>
          <w:lang w:val="en-US" w:eastAsia="zh-CN"/>
        </w:rPr>
        <w:t>1.</w:t>
      </w:r>
      <w:r>
        <w:rPr>
          <w:rFonts w:hint="default" w:ascii="仿宋" w:hAnsi="仿宋" w:eastAsia="仿宋" w:cs="仿宋"/>
          <w:b/>
          <w:bCs/>
          <w:i w:val="0"/>
          <w:iCs w:val="0"/>
          <w:caps w:val="0"/>
          <w:color w:val="0F1115"/>
          <w:spacing w:val="0"/>
          <w:sz w:val="32"/>
          <w:szCs w:val="32"/>
          <w:highlight w:val="none"/>
          <w:u w:val="none"/>
          <w:shd w:val="clear" w:color="auto" w:fill="FFFFFF"/>
        </w:rPr>
        <w:t>实施“优质稻米产业倍增计划”</w:t>
      </w:r>
      <w:r>
        <w:rPr>
          <w:rFonts w:hint="eastAsia" w:ascii="仿宋" w:hAnsi="仿宋" w:eastAsia="仿宋" w:cs="仿宋"/>
          <w:b/>
          <w:bCs/>
          <w:i w:val="0"/>
          <w:iCs w:val="0"/>
          <w:caps w:val="0"/>
          <w:color w:val="0F1115"/>
          <w:spacing w:val="0"/>
          <w:sz w:val="32"/>
          <w:szCs w:val="32"/>
          <w:highlight w:val="none"/>
          <w:u w:val="none"/>
          <w:shd w:val="clear" w:color="auto" w:fill="FFFFFF"/>
          <w:lang w:eastAsia="zh-CN"/>
        </w:rPr>
        <w:t>。</w:t>
      </w:r>
      <w:r>
        <w:rPr>
          <w:rFonts w:hint="default" w:ascii="仿宋" w:hAnsi="仿宋" w:eastAsia="仿宋" w:cs="仿宋"/>
          <w:b w:val="0"/>
          <w:bCs w:val="0"/>
          <w:i w:val="0"/>
          <w:iCs w:val="0"/>
          <w:caps w:val="0"/>
          <w:color w:val="0F1115"/>
          <w:spacing w:val="0"/>
          <w:sz w:val="32"/>
          <w:szCs w:val="32"/>
          <w:highlight w:val="none"/>
          <w:u w:val="none"/>
          <w:shd w:val="clear" w:color="auto" w:fill="FFFFFF"/>
        </w:rPr>
        <w:t>与省农科院</w:t>
      </w:r>
      <w:r>
        <w:rPr>
          <w:rFonts w:hint="eastAsia" w:ascii="仿宋" w:hAnsi="仿宋" w:eastAsia="仿宋" w:cs="仿宋"/>
          <w:b w:val="0"/>
          <w:bCs w:val="0"/>
          <w:i w:val="0"/>
          <w:iCs w:val="0"/>
          <w:caps w:val="0"/>
          <w:color w:val="0F1115"/>
          <w:spacing w:val="0"/>
          <w:sz w:val="32"/>
          <w:szCs w:val="32"/>
          <w:highlight w:val="none"/>
          <w:u w:val="none"/>
          <w:shd w:val="clear" w:color="auto" w:fill="FFFFFF"/>
          <w:lang w:val="en-US" w:eastAsia="zh-CN"/>
        </w:rPr>
        <w:t>等科研院所</w:t>
      </w:r>
      <w:r>
        <w:rPr>
          <w:rFonts w:hint="default" w:ascii="仿宋" w:hAnsi="仿宋" w:eastAsia="仿宋" w:cs="仿宋"/>
          <w:b w:val="0"/>
          <w:bCs w:val="0"/>
          <w:i w:val="0"/>
          <w:iCs w:val="0"/>
          <w:caps w:val="0"/>
          <w:color w:val="0F1115"/>
          <w:spacing w:val="0"/>
          <w:sz w:val="32"/>
          <w:szCs w:val="32"/>
          <w:highlight w:val="none"/>
          <w:u w:val="none"/>
          <w:shd w:val="clear" w:color="auto" w:fill="FFFFFF"/>
        </w:rPr>
        <w:t>合作，推广2-3个适合鄂州土壤气候的优质、高抗、富硒水稻品种，建设10万亩核心订单基地。在泽林、段店等产粮大镇，布局建设集烘干、仓储、加工、检测于一体的现代化粮食产后服务中心，减少产后损失</w:t>
      </w:r>
      <w:r>
        <w:rPr>
          <w:rFonts w:hint="eastAsia" w:ascii="仿宋" w:hAnsi="仿宋" w:eastAsia="仿宋" w:cs="仿宋"/>
          <w:b w:val="0"/>
          <w:bCs w:val="0"/>
          <w:i w:val="0"/>
          <w:iCs w:val="0"/>
          <w:caps w:val="0"/>
          <w:color w:val="0F1115"/>
          <w:spacing w:val="0"/>
          <w:sz w:val="32"/>
          <w:szCs w:val="32"/>
          <w:highlight w:val="none"/>
          <w:u w:val="none"/>
          <w:shd w:val="clear" w:color="auto" w:fill="FFFFFF"/>
          <w:lang w:eastAsia="zh-CN"/>
        </w:rPr>
        <w:t>。</w:t>
      </w:r>
      <w:r>
        <w:rPr>
          <w:rFonts w:hint="default" w:ascii="仿宋" w:hAnsi="仿宋" w:eastAsia="仿宋" w:cs="仿宋"/>
          <w:b w:val="0"/>
          <w:bCs w:val="0"/>
          <w:i w:val="0"/>
          <w:iCs w:val="0"/>
          <w:caps w:val="0"/>
          <w:color w:val="0F1115"/>
          <w:spacing w:val="0"/>
          <w:sz w:val="32"/>
          <w:szCs w:val="32"/>
          <w:highlight w:val="none"/>
          <w:u w:val="none"/>
          <w:shd w:val="clear" w:color="auto" w:fill="FFFFFF"/>
        </w:rPr>
        <w:t>整合区域品牌，打造“鄂州香米”地理标志产品，开发小包装、胚芽米、速食米饭等产品，进入高端商超和电商渠道。</w:t>
      </w:r>
    </w:p>
    <w:p w14:paraId="2E7A4893">
      <w:pPr>
        <w:pStyle w:val="11"/>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643" w:firstLineChars="200"/>
        <w:jc w:val="both"/>
        <w:textAlignment w:val="auto"/>
        <w:rPr>
          <w:rFonts w:hint="default" w:ascii="仿宋" w:hAnsi="仿宋" w:eastAsia="仿宋" w:cs="仿宋"/>
          <w:b w:val="0"/>
          <w:bCs w:val="0"/>
          <w:i w:val="0"/>
          <w:iCs w:val="0"/>
          <w:caps w:val="0"/>
          <w:color w:val="0F1115"/>
          <w:spacing w:val="0"/>
          <w:sz w:val="32"/>
          <w:szCs w:val="32"/>
          <w:highlight w:val="none"/>
          <w:u w:val="none"/>
          <w:shd w:val="clear" w:color="auto" w:fill="FFFFFF"/>
        </w:rPr>
      </w:pPr>
      <w:r>
        <w:rPr>
          <w:rFonts w:hint="eastAsia" w:ascii="仿宋" w:hAnsi="仿宋" w:eastAsia="仿宋" w:cs="仿宋"/>
          <w:b/>
          <w:bCs/>
          <w:i w:val="0"/>
          <w:iCs w:val="0"/>
          <w:caps w:val="0"/>
          <w:color w:val="0F1115"/>
          <w:spacing w:val="0"/>
          <w:sz w:val="32"/>
          <w:szCs w:val="32"/>
          <w:highlight w:val="none"/>
          <w:u w:val="none"/>
          <w:shd w:val="clear" w:color="auto" w:fill="FFFFFF"/>
          <w:lang w:val="en-US" w:eastAsia="zh-CN"/>
        </w:rPr>
        <w:t>2.</w:t>
      </w:r>
      <w:r>
        <w:rPr>
          <w:rFonts w:hint="default" w:ascii="仿宋" w:hAnsi="仿宋" w:eastAsia="仿宋" w:cs="仿宋"/>
          <w:b/>
          <w:bCs/>
          <w:i w:val="0"/>
          <w:iCs w:val="0"/>
          <w:caps w:val="0"/>
          <w:color w:val="0F1115"/>
          <w:spacing w:val="0"/>
          <w:sz w:val="32"/>
          <w:szCs w:val="32"/>
          <w:highlight w:val="none"/>
          <w:u w:val="none"/>
          <w:shd w:val="clear" w:color="auto" w:fill="FFFFFF"/>
        </w:rPr>
        <w:t>发展“中央厨房+智慧餐饮”业务</w:t>
      </w:r>
      <w:r>
        <w:rPr>
          <w:rFonts w:hint="eastAsia" w:ascii="仿宋" w:hAnsi="仿宋" w:eastAsia="仿宋" w:cs="仿宋"/>
          <w:b/>
          <w:bCs/>
          <w:i w:val="0"/>
          <w:iCs w:val="0"/>
          <w:caps w:val="0"/>
          <w:color w:val="0F1115"/>
          <w:spacing w:val="0"/>
          <w:sz w:val="32"/>
          <w:szCs w:val="32"/>
          <w:highlight w:val="none"/>
          <w:u w:val="none"/>
          <w:shd w:val="clear" w:color="auto" w:fill="FFFFFF"/>
          <w:lang w:eastAsia="zh-CN"/>
        </w:rPr>
        <w:t>。</w:t>
      </w:r>
      <w:r>
        <w:rPr>
          <w:rFonts w:hint="eastAsia" w:ascii="仿宋" w:hAnsi="仿宋" w:eastAsia="仿宋" w:cs="仿宋"/>
          <w:b w:val="0"/>
          <w:bCs w:val="0"/>
          <w:i w:val="0"/>
          <w:iCs w:val="0"/>
          <w:caps w:val="0"/>
          <w:color w:val="0F1115"/>
          <w:spacing w:val="0"/>
          <w:sz w:val="32"/>
          <w:szCs w:val="32"/>
          <w:highlight w:val="none"/>
          <w:u w:val="none"/>
          <w:shd w:val="clear" w:color="auto" w:fill="FFFFFF"/>
          <w:lang w:val="en-US" w:eastAsia="zh-CN"/>
        </w:rPr>
        <w:t>支持</w:t>
      </w:r>
      <w:r>
        <w:rPr>
          <w:rFonts w:hint="default" w:ascii="仿宋" w:hAnsi="仿宋" w:eastAsia="仿宋" w:cs="仿宋"/>
          <w:b w:val="0"/>
          <w:bCs w:val="0"/>
          <w:i w:val="0"/>
          <w:iCs w:val="0"/>
          <w:caps w:val="0"/>
          <w:color w:val="0F1115"/>
          <w:spacing w:val="0"/>
          <w:sz w:val="32"/>
          <w:szCs w:val="32"/>
          <w:highlight w:val="none"/>
          <w:u w:val="none"/>
          <w:shd w:val="clear" w:color="auto" w:fill="FFFFFF"/>
        </w:rPr>
        <w:t>市供销集团为主体，</w:t>
      </w:r>
      <w:r>
        <w:rPr>
          <w:rFonts w:hint="eastAsia" w:ascii="仿宋" w:hAnsi="仿宋" w:eastAsia="仿宋" w:cs="仿宋"/>
          <w:b w:val="0"/>
          <w:bCs w:val="0"/>
          <w:i w:val="0"/>
          <w:iCs w:val="0"/>
          <w:caps w:val="0"/>
          <w:color w:val="0F1115"/>
          <w:spacing w:val="0"/>
          <w:sz w:val="32"/>
          <w:szCs w:val="32"/>
          <w:highlight w:val="none"/>
          <w:u w:val="none"/>
          <w:shd w:val="clear" w:color="auto" w:fill="FFFFFF"/>
          <w:lang w:val="en-US" w:eastAsia="zh-CN"/>
        </w:rPr>
        <w:t>通过参股、控股等方式，</w:t>
      </w:r>
      <w:r>
        <w:rPr>
          <w:rFonts w:hint="default" w:ascii="仿宋" w:hAnsi="仿宋" w:eastAsia="仿宋" w:cs="仿宋"/>
          <w:b w:val="0"/>
          <w:bCs w:val="0"/>
          <w:i w:val="0"/>
          <w:iCs w:val="0"/>
          <w:caps w:val="0"/>
          <w:color w:val="0F1115"/>
          <w:spacing w:val="0"/>
          <w:sz w:val="32"/>
          <w:szCs w:val="32"/>
          <w:highlight w:val="none"/>
          <w:u w:val="none"/>
          <w:shd w:val="clear" w:color="auto" w:fill="FFFFFF"/>
        </w:rPr>
        <w:t>投资建设城市中央厨房，为学校、企业、机关食堂及连锁餐饮提供标准化、营养化团餐配送，并发展线上订餐、净菜到家等新零售服务。</w:t>
      </w:r>
    </w:p>
    <w:p w14:paraId="307A318A">
      <w:pPr>
        <w:pStyle w:val="11"/>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643" w:firstLineChars="200"/>
        <w:jc w:val="both"/>
        <w:textAlignment w:val="auto"/>
        <w:rPr>
          <w:rFonts w:hint="eastAsia" w:ascii="仿宋" w:hAnsi="仿宋" w:eastAsia="仿宋" w:cs="仿宋"/>
          <w:b w:val="0"/>
          <w:bCs w:val="0"/>
          <w:i w:val="0"/>
          <w:iCs w:val="0"/>
          <w:caps w:val="0"/>
          <w:color w:val="0F1115"/>
          <w:spacing w:val="0"/>
          <w:sz w:val="32"/>
          <w:szCs w:val="32"/>
          <w:highlight w:val="none"/>
          <w:u w:val="none"/>
          <w:shd w:val="clear" w:color="auto" w:fill="FFFFFF"/>
        </w:rPr>
      </w:pPr>
      <w:r>
        <w:rPr>
          <w:rFonts w:hint="eastAsia" w:ascii="仿宋" w:hAnsi="仿宋" w:eastAsia="仿宋" w:cs="仿宋"/>
          <w:b/>
          <w:bCs/>
          <w:i w:val="0"/>
          <w:iCs w:val="0"/>
          <w:caps w:val="0"/>
          <w:color w:val="0F1115"/>
          <w:spacing w:val="0"/>
          <w:sz w:val="32"/>
          <w:szCs w:val="32"/>
          <w:highlight w:val="none"/>
          <w:u w:val="none"/>
          <w:shd w:val="clear" w:color="auto" w:fill="FFFFFF"/>
          <w:lang w:val="en-US" w:eastAsia="zh-CN"/>
        </w:rPr>
        <w:t>3.</w:t>
      </w:r>
      <w:r>
        <w:rPr>
          <w:rFonts w:hint="default" w:ascii="仿宋" w:hAnsi="仿宋" w:eastAsia="仿宋" w:cs="仿宋"/>
          <w:b/>
          <w:bCs/>
          <w:i w:val="0"/>
          <w:iCs w:val="0"/>
          <w:caps w:val="0"/>
          <w:color w:val="0F1115"/>
          <w:spacing w:val="0"/>
          <w:sz w:val="32"/>
          <w:szCs w:val="32"/>
          <w:highlight w:val="none"/>
          <w:u w:val="none"/>
          <w:shd w:val="clear" w:color="auto" w:fill="FFFFFF"/>
        </w:rPr>
        <w:t>融入全省粮食应急体系</w:t>
      </w:r>
      <w:r>
        <w:rPr>
          <w:rFonts w:hint="eastAsia" w:ascii="仿宋" w:hAnsi="仿宋" w:eastAsia="仿宋" w:cs="仿宋"/>
          <w:b/>
          <w:bCs/>
          <w:i w:val="0"/>
          <w:iCs w:val="0"/>
          <w:caps w:val="0"/>
          <w:color w:val="0F1115"/>
          <w:spacing w:val="0"/>
          <w:sz w:val="32"/>
          <w:szCs w:val="32"/>
          <w:highlight w:val="none"/>
          <w:u w:val="none"/>
          <w:shd w:val="clear" w:color="auto" w:fill="FFFFFF"/>
          <w:lang w:eastAsia="zh-CN"/>
        </w:rPr>
        <w:t>。</w:t>
      </w:r>
      <w:r>
        <w:rPr>
          <w:rFonts w:hint="eastAsia" w:ascii="仿宋" w:hAnsi="仿宋" w:eastAsia="仿宋" w:cs="仿宋"/>
          <w:b w:val="0"/>
          <w:bCs w:val="0"/>
          <w:i w:val="0"/>
          <w:iCs w:val="0"/>
          <w:caps w:val="0"/>
          <w:color w:val="0F1115"/>
          <w:spacing w:val="0"/>
          <w:sz w:val="32"/>
          <w:szCs w:val="32"/>
          <w:highlight w:val="none"/>
          <w:u w:val="none"/>
          <w:shd w:val="clear" w:color="auto" w:fill="FFFFFF"/>
          <w:lang w:val="en-US" w:eastAsia="zh-CN"/>
        </w:rPr>
        <w:t>依托供销粮油（鄂州）现代粮食仓储物流产业园项目，</w:t>
      </w:r>
      <w:r>
        <w:rPr>
          <w:rFonts w:hint="default" w:ascii="仿宋" w:hAnsi="仿宋" w:eastAsia="仿宋" w:cs="仿宋"/>
          <w:b w:val="0"/>
          <w:bCs w:val="0"/>
          <w:i w:val="0"/>
          <w:iCs w:val="0"/>
          <w:caps w:val="0"/>
          <w:color w:val="0F1115"/>
          <w:spacing w:val="0"/>
          <w:sz w:val="32"/>
          <w:szCs w:val="32"/>
          <w:highlight w:val="none"/>
          <w:u w:val="none"/>
          <w:shd w:val="clear" w:color="auto" w:fill="FFFFFF"/>
        </w:rPr>
        <w:t>承担市级成品粮和应急物资储备任务，利用供销网络优势，建设覆盖城乡的应急供应网点，提升平急转换能力。</w:t>
      </w:r>
    </w:p>
    <w:p w14:paraId="73AF9A6D">
      <w:pPr>
        <w:pStyle w:val="11"/>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643" w:firstLineChars="200"/>
        <w:jc w:val="both"/>
        <w:textAlignment w:val="auto"/>
        <w:rPr>
          <w:rFonts w:hint="eastAsia" w:ascii="仿宋" w:hAnsi="仿宋" w:eastAsia="仿宋" w:cs="仿宋"/>
          <w:b w:val="0"/>
          <w:bCs w:val="0"/>
          <w:i w:val="0"/>
          <w:iCs w:val="0"/>
          <w:caps w:val="0"/>
          <w:color w:val="0F1115"/>
          <w:spacing w:val="0"/>
          <w:sz w:val="32"/>
          <w:szCs w:val="32"/>
          <w:highlight w:val="none"/>
          <w:u w:val="none"/>
          <w:shd w:val="clear" w:color="auto" w:fill="FFFFFF"/>
        </w:rPr>
      </w:pPr>
      <w:r>
        <w:rPr>
          <w:rFonts w:hint="default" w:ascii="仿宋" w:hAnsi="仿宋" w:eastAsia="仿宋" w:cs="仿宋"/>
          <w:b/>
          <w:bCs/>
          <w:i w:val="0"/>
          <w:iCs w:val="0"/>
          <w:caps w:val="0"/>
          <w:color w:val="0F1115"/>
          <w:spacing w:val="0"/>
          <w:sz w:val="32"/>
          <w:szCs w:val="32"/>
          <w:highlight w:val="none"/>
          <w:u w:val="none"/>
          <w:shd w:val="clear" w:color="auto" w:fill="FFFFFF"/>
        </w:rPr>
        <w:t>支翼二：“大菜商”——塑造武汉都市圈精品蔬菜核心供应商</w:t>
      </w:r>
    </w:p>
    <w:p w14:paraId="2510398C">
      <w:pPr>
        <w:pStyle w:val="11"/>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643" w:firstLineChars="200"/>
        <w:jc w:val="both"/>
        <w:textAlignment w:val="auto"/>
        <w:rPr>
          <w:rFonts w:hint="default" w:ascii="仿宋" w:hAnsi="仿宋" w:eastAsia="仿宋" w:cs="仿宋"/>
          <w:b w:val="0"/>
          <w:bCs w:val="0"/>
          <w:i w:val="0"/>
          <w:iCs w:val="0"/>
          <w:caps w:val="0"/>
          <w:color w:val="0F1115"/>
          <w:spacing w:val="0"/>
          <w:sz w:val="32"/>
          <w:szCs w:val="32"/>
          <w:highlight w:val="none"/>
          <w:u w:val="none"/>
          <w:shd w:val="clear" w:color="auto" w:fill="FFFFFF"/>
        </w:rPr>
      </w:pPr>
      <w:r>
        <w:rPr>
          <w:rFonts w:hint="eastAsia" w:ascii="仿宋" w:hAnsi="仿宋" w:eastAsia="仿宋" w:cs="仿宋"/>
          <w:b/>
          <w:bCs/>
          <w:i w:val="0"/>
          <w:iCs w:val="0"/>
          <w:caps w:val="0"/>
          <w:color w:val="0F1115"/>
          <w:spacing w:val="0"/>
          <w:sz w:val="32"/>
          <w:szCs w:val="32"/>
          <w:highlight w:val="none"/>
          <w:u w:val="none"/>
          <w:shd w:val="clear" w:color="auto" w:fill="FFFFFF"/>
          <w:lang w:val="en-US" w:eastAsia="zh-CN"/>
        </w:rPr>
        <w:t>1.</w:t>
      </w:r>
      <w:r>
        <w:rPr>
          <w:rFonts w:hint="default" w:ascii="仿宋" w:hAnsi="仿宋" w:eastAsia="仿宋" w:cs="仿宋"/>
          <w:b/>
          <w:bCs/>
          <w:i w:val="0"/>
          <w:iCs w:val="0"/>
          <w:caps w:val="0"/>
          <w:color w:val="0F1115"/>
          <w:spacing w:val="0"/>
          <w:sz w:val="32"/>
          <w:szCs w:val="32"/>
          <w:highlight w:val="none"/>
          <w:u w:val="none"/>
          <w:shd w:val="clear" w:color="auto" w:fill="FFFFFF"/>
        </w:rPr>
        <w:t>打造“一区一品”特色蔬菜矩阵</w:t>
      </w:r>
      <w:r>
        <w:rPr>
          <w:rFonts w:hint="eastAsia" w:ascii="仿宋" w:hAnsi="仿宋" w:eastAsia="仿宋" w:cs="仿宋"/>
          <w:b/>
          <w:bCs/>
          <w:i w:val="0"/>
          <w:iCs w:val="0"/>
          <w:caps w:val="0"/>
          <w:color w:val="0F1115"/>
          <w:spacing w:val="0"/>
          <w:sz w:val="32"/>
          <w:szCs w:val="32"/>
          <w:highlight w:val="none"/>
          <w:u w:val="none"/>
          <w:shd w:val="clear" w:color="auto" w:fill="FFFFFF"/>
          <w:lang w:eastAsia="zh-CN"/>
        </w:rPr>
        <w:t>。</w:t>
      </w:r>
      <w:r>
        <w:rPr>
          <w:rFonts w:hint="default" w:ascii="仿宋" w:hAnsi="仿宋" w:eastAsia="仿宋" w:cs="仿宋"/>
          <w:b w:val="0"/>
          <w:bCs w:val="0"/>
          <w:i w:val="0"/>
          <w:iCs w:val="0"/>
          <w:caps w:val="0"/>
          <w:color w:val="0F1115"/>
          <w:spacing w:val="0"/>
          <w:sz w:val="32"/>
          <w:szCs w:val="32"/>
          <w:highlight w:val="none"/>
          <w:u w:val="none"/>
          <w:shd w:val="clear" w:color="auto" w:fill="FFFFFF"/>
        </w:rPr>
        <w:t>梁子湖区域：重点发展水生蔬菜（菱角、莲藕、芡实）标准化种植与加工。华容-蒲团区域： 发展设施蔬菜与露地蔬菜轮作，重点供应番茄、辣椒、叶菜等大宗品类。鄂城城郊区域：发展精品果蔬、有机蔬菜，直供高端社区和商超。</w:t>
      </w:r>
    </w:p>
    <w:p w14:paraId="04A0302F">
      <w:pPr>
        <w:pStyle w:val="11"/>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643" w:firstLineChars="200"/>
        <w:jc w:val="both"/>
        <w:textAlignment w:val="auto"/>
        <w:rPr>
          <w:rFonts w:hint="eastAsia" w:ascii="仿宋" w:hAnsi="仿宋" w:eastAsia="仿宋" w:cs="仿宋"/>
          <w:b w:val="0"/>
          <w:bCs w:val="0"/>
          <w:i w:val="0"/>
          <w:iCs w:val="0"/>
          <w:caps w:val="0"/>
          <w:color w:val="0F1115"/>
          <w:spacing w:val="0"/>
          <w:sz w:val="32"/>
          <w:szCs w:val="32"/>
          <w:highlight w:val="none"/>
          <w:u w:val="none"/>
          <w:shd w:val="clear" w:color="auto" w:fill="FFFFFF"/>
        </w:rPr>
      </w:pPr>
      <w:r>
        <w:rPr>
          <w:rFonts w:hint="eastAsia" w:ascii="仿宋" w:hAnsi="仿宋" w:eastAsia="仿宋" w:cs="仿宋"/>
          <w:b/>
          <w:bCs/>
          <w:i w:val="0"/>
          <w:iCs w:val="0"/>
          <w:caps w:val="0"/>
          <w:color w:val="0F1115"/>
          <w:spacing w:val="0"/>
          <w:sz w:val="32"/>
          <w:szCs w:val="32"/>
          <w:highlight w:val="none"/>
          <w:u w:val="none"/>
          <w:shd w:val="clear" w:color="auto" w:fill="FFFFFF"/>
          <w:lang w:val="en-US" w:eastAsia="zh-CN"/>
        </w:rPr>
        <w:t>2.</w:t>
      </w:r>
      <w:r>
        <w:rPr>
          <w:rFonts w:hint="default" w:ascii="仿宋" w:hAnsi="仿宋" w:eastAsia="仿宋" w:cs="仿宋"/>
          <w:b/>
          <w:bCs/>
          <w:i w:val="0"/>
          <w:iCs w:val="0"/>
          <w:caps w:val="0"/>
          <w:color w:val="0F1115"/>
          <w:spacing w:val="0"/>
          <w:sz w:val="32"/>
          <w:szCs w:val="32"/>
          <w:highlight w:val="none"/>
          <w:u w:val="none"/>
          <w:shd w:val="clear" w:color="auto" w:fill="FFFFFF"/>
        </w:rPr>
        <w:t>建设“智慧菜园”与产地直供系统</w:t>
      </w:r>
      <w:r>
        <w:rPr>
          <w:rFonts w:hint="eastAsia" w:ascii="仿宋" w:hAnsi="仿宋" w:eastAsia="仿宋" w:cs="仿宋"/>
          <w:b/>
          <w:bCs/>
          <w:i w:val="0"/>
          <w:iCs w:val="0"/>
          <w:caps w:val="0"/>
          <w:color w:val="0F1115"/>
          <w:spacing w:val="0"/>
          <w:sz w:val="32"/>
          <w:szCs w:val="32"/>
          <w:highlight w:val="none"/>
          <w:u w:val="none"/>
          <w:shd w:val="clear" w:color="auto" w:fill="FFFFFF"/>
          <w:lang w:eastAsia="zh-CN"/>
        </w:rPr>
        <w:t>。</w:t>
      </w:r>
      <w:r>
        <w:rPr>
          <w:rFonts w:hint="default" w:ascii="仿宋" w:hAnsi="仿宋" w:eastAsia="仿宋" w:cs="仿宋"/>
          <w:b w:val="0"/>
          <w:bCs w:val="0"/>
          <w:i w:val="0"/>
          <w:iCs w:val="0"/>
          <w:caps w:val="0"/>
          <w:color w:val="0F1115"/>
          <w:spacing w:val="0"/>
          <w:sz w:val="32"/>
          <w:szCs w:val="32"/>
          <w:highlight w:val="none"/>
          <w:u w:val="none"/>
          <w:shd w:val="clear" w:color="auto" w:fill="FFFFFF"/>
        </w:rPr>
        <w:t>应用物联网技术，实现环境监测、智能灌溉、水肥一体化。发展“认购农业”、“阳台菜园”云托管等新模式。</w:t>
      </w:r>
      <w:r>
        <w:rPr>
          <w:rFonts w:hint="eastAsia" w:ascii="仿宋" w:hAnsi="仿宋" w:eastAsia="仿宋" w:cs="仿宋"/>
          <w:b w:val="0"/>
          <w:bCs w:val="0"/>
          <w:i w:val="0"/>
          <w:iCs w:val="0"/>
          <w:caps w:val="0"/>
          <w:color w:val="0F1115"/>
          <w:spacing w:val="0"/>
          <w:sz w:val="32"/>
          <w:szCs w:val="32"/>
          <w:highlight w:val="none"/>
          <w:u w:val="none"/>
          <w:shd w:val="clear" w:color="auto" w:fill="FFFFFF"/>
          <w:lang w:val="en-US" w:eastAsia="zh-CN"/>
        </w:rPr>
        <w:t>与</w:t>
      </w:r>
      <w:r>
        <w:rPr>
          <w:rFonts w:hint="default" w:ascii="仿宋" w:hAnsi="仿宋" w:eastAsia="仿宋" w:cs="仿宋"/>
          <w:b w:val="0"/>
          <w:bCs w:val="0"/>
          <w:i w:val="0"/>
          <w:iCs w:val="0"/>
          <w:caps w:val="0"/>
          <w:color w:val="0F1115"/>
          <w:spacing w:val="0"/>
          <w:sz w:val="32"/>
          <w:szCs w:val="32"/>
          <w:highlight w:val="none"/>
          <w:u w:val="none"/>
          <w:shd w:val="clear" w:color="auto" w:fill="FFFFFF"/>
        </w:rPr>
        <w:t>武汉大型商超、生鲜电商、社区团购平台建立“产地直采、销地直配”的短供应链，将流通环节损耗降低至8%以下。</w:t>
      </w:r>
    </w:p>
    <w:p w14:paraId="3D002221">
      <w:pPr>
        <w:pStyle w:val="11"/>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643" w:firstLineChars="200"/>
        <w:jc w:val="both"/>
        <w:textAlignment w:val="auto"/>
        <w:rPr>
          <w:rFonts w:hint="eastAsia" w:ascii="仿宋" w:hAnsi="仿宋" w:eastAsia="仿宋" w:cs="仿宋"/>
          <w:b w:val="0"/>
          <w:bCs w:val="0"/>
          <w:i w:val="0"/>
          <w:iCs w:val="0"/>
          <w:caps w:val="0"/>
          <w:color w:val="0F1115"/>
          <w:spacing w:val="0"/>
          <w:sz w:val="32"/>
          <w:szCs w:val="32"/>
          <w:highlight w:val="none"/>
          <w:u w:val="none"/>
          <w:shd w:val="clear" w:color="auto" w:fill="FFFFFF"/>
        </w:rPr>
      </w:pPr>
      <w:r>
        <w:rPr>
          <w:rFonts w:hint="eastAsia" w:ascii="仿宋" w:hAnsi="仿宋" w:eastAsia="仿宋" w:cs="仿宋"/>
          <w:b/>
          <w:bCs/>
          <w:i w:val="0"/>
          <w:iCs w:val="0"/>
          <w:caps w:val="0"/>
          <w:color w:val="0F1115"/>
          <w:spacing w:val="0"/>
          <w:sz w:val="32"/>
          <w:szCs w:val="32"/>
          <w:highlight w:val="none"/>
          <w:u w:val="none"/>
          <w:shd w:val="clear" w:color="auto" w:fill="FFFFFF"/>
          <w:lang w:val="en-US" w:eastAsia="zh-CN"/>
        </w:rPr>
        <w:t>3.</w:t>
      </w:r>
      <w:r>
        <w:rPr>
          <w:rFonts w:hint="default" w:ascii="仿宋" w:hAnsi="仿宋" w:eastAsia="仿宋" w:cs="仿宋"/>
          <w:b/>
          <w:bCs/>
          <w:i w:val="0"/>
          <w:iCs w:val="0"/>
          <w:caps w:val="0"/>
          <w:color w:val="0F1115"/>
          <w:spacing w:val="0"/>
          <w:sz w:val="32"/>
          <w:szCs w:val="32"/>
          <w:highlight w:val="none"/>
          <w:u w:val="none"/>
          <w:shd w:val="clear" w:color="auto" w:fill="FFFFFF"/>
        </w:rPr>
        <w:t>拓展“净菜加工+预制菜”新赛道</w:t>
      </w:r>
      <w:r>
        <w:rPr>
          <w:rFonts w:hint="eastAsia" w:ascii="仿宋" w:hAnsi="仿宋" w:eastAsia="仿宋" w:cs="仿宋"/>
          <w:b w:val="0"/>
          <w:bCs w:val="0"/>
          <w:i w:val="0"/>
          <w:iCs w:val="0"/>
          <w:caps w:val="0"/>
          <w:color w:val="0F1115"/>
          <w:spacing w:val="0"/>
          <w:sz w:val="32"/>
          <w:szCs w:val="32"/>
          <w:highlight w:val="none"/>
          <w:u w:val="none"/>
          <w:shd w:val="clear" w:color="auto" w:fill="FFFFFF"/>
          <w:lang w:eastAsia="zh-CN"/>
        </w:rPr>
        <w:t>。</w:t>
      </w:r>
      <w:r>
        <w:rPr>
          <w:rFonts w:hint="default" w:ascii="仿宋" w:hAnsi="仿宋" w:eastAsia="仿宋" w:cs="仿宋"/>
          <w:b w:val="0"/>
          <w:bCs w:val="0"/>
          <w:i w:val="0"/>
          <w:iCs w:val="0"/>
          <w:caps w:val="0"/>
          <w:color w:val="0F1115"/>
          <w:spacing w:val="0"/>
          <w:sz w:val="32"/>
          <w:szCs w:val="32"/>
          <w:highlight w:val="none"/>
          <w:u w:val="none"/>
          <w:shd w:val="clear" w:color="auto" w:fill="FFFFFF"/>
        </w:rPr>
        <w:t>建设现代化净菜加工中心，开发针对家庭和餐饮的即烹、即热、即食预制菜产品，对接城市快节奏生活需求。</w:t>
      </w:r>
    </w:p>
    <w:p w14:paraId="0060A062">
      <w:pPr>
        <w:pStyle w:val="11"/>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right="0" w:firstLine="643" w:firstLineChars="200"/>
        <w:jc w:val="both"/>
        <w:textAlignment w:val="auto"/>
        <w:rPr>
          <w:rFonts w:hint="eastAsia" w:ascii="仿宋" w:hAnsi="仿宋" w:eastAsia="仿宋" w:cs="仿宋"/>
          <w:b w:val="0"/>
          <w:bCs w:val="0"/>
          <w:i w:val="0"/>
          <w:iCs w:val="0"/>
          <w:caps w:val="0"/>
          <w:color w:val="0F1115"/>
          <w:spacing w:val="0"/>
          <w:sz w:val="32"/>
          <w:szCs w:val="32"/>
          <w:highlight w:val="none"/>
          <w:u w:val="none"/>
          <w:shd w:val="clear" w:color="auto" w:fill="FFFFFF"/>
        </w:rPr>
      </w:pPr>
      <w:r>
        <w:rPr>
          <w:rFonts w:hint="default" w:ascii="仿宋" w:hAnsi="仿宋" w:eastAsia="仿宋" w:cs="仿宋"/>
          <w:b/>
          <w:bCs/>
          <w:i w:val="0"/>
          <w:iCs w:val="0"/>
          <w:caps w:val="0"/>
          <w:color w:val="0F1115"/>
          <w:spacing w:val="0"/>
          <w:sz w:val="32"/>
          <w:szCs w:val="32"/>
          <w:highlight w:val="none"/>
          <w:u w:val="none"/>
          <w:shd w:val="clear" w:color="auto" w:fill="FFFFFF"/>
        </w:rPr>
        <w:t>支翼三：“大肥商”——升级为农业绿色投入品综合服务商</w:t>
      </w:r>
    </w:p>
    <w:p w14:paraId="0B78C407">
      <w:pPr>
        <w:pStyle w:val="11"/>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643" w:firstLineChars="200"/>
        <w:jc w:val="both"/>
        <w:textAlignment w:val="auto"/>
        <w:rPr>
          <w:rFonts w:hint="eastAsia" w:ascii="仿宋" w:hAnsi="仿宋" w:eastAsia="仿宋" w:cs="仿宋"/>
          <w:b w:val="0"/>
          <w:bCs w:val="0"/>
          <w:i w:val="0"/>
          <w:iCs w:val="0"/>
          <w:caps w:val="0"/>
          <w:color w:val="0F1115"/>
          <w:spacing w:val="0"/>
          <w:sz w:val="32"/>
          <w:szCs w:val="32"/>
          <w:highlight w:val="none"/>
          <w:u w:val="none"/>
          <w:shd w:val="clear" w:color="auto" w:fill="FFFFFF"/>
        </w:rPr>
      </w:pPr>
      <w:r>
        <w:rPr>
          <w:rFonts w:hint="eastAsia" w:ascii="仿宋" w:hAnsi="仿宋" w:eastAsia="仿宋" w:cs="仿宋"/>
          <w:b/>
          <w:bCs/>
          <w:i w:val="0"/>
          <w:iCs w:val="0"/>
          <w:caps w:val="0"/>
          <w:color w:val="0F1115"/>
          <w:spacing w:val="0"/>
          <w:sz w:val="32"/>
          <w:szCs w:val="32"/>
          <w:highlight w:val="none"/>
          <w:u w:val="none"/>
          <w:shd w:val="clear" w:color="auto" w:fill="FFFFFF"/>
          <w:lang w:val="en-US" w:eastAsia="zh-CN"/>
        </w:rPr>
        <w:t>1.</w:t>
      </w:r>
      <w:r>
        <w:rPr>
          <w:rFonts w:hint="default" w:ascii="仿宋" w:hAnsi="仿宋" w:eastAsia="仿宋" w:cs="仿宋"/>
          <w:b/>
          <w:bCs/>
          <w:i w:val="0"/>
          <w:iCs w:val="0"/>
          <w:caps w:val="0"/>
          <w:color w:val="0F1115"/>
          <w:spacing w:val="0"/>
          <w:sz w:val="32"/>
          <w:szCs w:val="32"/>
          <w:highlight w:val="none"/>
          <w:u w:val="none"/>
          <w:shd w:val="clear" w:color="auto" w:fill="FFFFFF"/>
        </w:rPr>
        <w:t>建设“绿色农资产业园”</w:t>
      </w:r>
      <w:r>
        <w:rPr>
          <w:rFonts w:hint="eastAsia" w:ascii="仿宋" w:hAnsi="仿宋" w:eastAsia="仿宋" w:cs="仿宋"/>
          <w:b/>
          <w:bCs/>
          <w:i w:val="0"/>
          <w:iCs w:val="0"/>
          <w:caps w:val="0"/>
          <w:color w:val="0F1115"/>
          <w:spacing w:val="0"/>
          <w:sz w:val="32"/>
          <w:szCs w:val="32"/>
          <w:highlight w:val="none"/>
          <w:u w:val="none"/>
          <w:shd w:val="clear" w:color="auto" w:fill="FFFFFF"/>
          <w:lang w:eastAsia="zh-CN"/>
        </w:rPr>
        <w:t>。</w:t>
      </w:r>
      <w:r>
        <w:rPr>
          <w:rFonts w:hint="eastAsia" w:ascii="仿宋" w:hAnsi="仿宋" w:eastAsia="仿宋" w:cs="仿宋"/>
          <w:b w:val="0"/>
          <w:bCs w:val="0"/>
          <w:i w:val="0"/>
          <w:iCs w:val="0"/>
          <w:caps w:val="0"/>
          <w:color w:val="0F1115"/>
          <w:spacing w:val="0"/>
          <w:sz w:val="32"/>
          <w:szCs w:val="32"/>
          <w:highlight w:val="none"/>
          <w:u w:val="none"/>
          <w:shd w:val="clear" w:color="auto" w:fill="FFFFFF"/>
          <w:lang w:val="en-US" w:eastAsia="zh-CN"/>
        </w:rPr>
        <w:t>指导农资协会完成华蒲丰农资供应中心建设项目建设，</w:t>
      </w:r>
      <w:r>
        <w:rPr>
          <w:rFonts w:hint="default" w:ascii="仿宋" w:hAnsi="仿宋" w:eastAsia="仿宋" w:cs="仿宋"/>
          <w:b w:val="0"/>
          <w:bCs w:val="0"/>
          <w:i w:val="0"/>
          <w:iCs w:val="0"/>
          <w:caps w:val="0"/>
          <w:color w:val="0F1115"/>
          <w:spacing w:val="0"/>
          <w:sz w:val="32"/>
          <w:szCs w:val="32"/>
          <w:highlight w:val="none"/>
          <w:u w:val="none"/>
          <w:shd w:val="clear" w:color="auto" w:fill="FFFFFF"/>
        </w:rPr>
        <w:t>引进或合作建设新型肥料（如水溶肥、缓释肥、微生物肥）、生物农药生产线，实现本地化生产与定制化服务。</w:t>
      </w:r>
    </w:p>
    <w:p w14:paraId="0063279A">
      <w:pPr>
        <w:pStyle w:val="11"/>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643" w:firstLineChars="200"/>
        <w:jc w:val="both"/>
        <w:textAlignment w:val="auto"/>
        <w:rPr>
          <w:rFonts w:hint="eastAsia" w:ascii="仿宋" w:hAnsi="仿宋" w:eastAsia="仿宋" w:cs="仿宋"/>
          <w:b w:val="0"/>
          <w:bCs w:val="0"/>
          <w:i w:val="0"/>
          <w:iCs w:val="0"/>
          <w:caps w:val="0"/>
          <w:color w:val="0F1115"/>
          <w:spacing w:val="0"/>
          <w:sz w:val="32"/>
          <w:szCs w:val="32"/>
          <w:highlight w:val="none"/>
          <w:u w:val="none"/>
          <w:shd w:val="clear" w:color="auto" w:fill="FFFFFF"/>
        </w:rPr>
      </w:pPr>
      <w:r>
        <w:rPr>
          <w:rFonts w:hint="eastAsia" w:ascii="仿宋" w:hAnsi="仿宋" w:eastAsia="仿宋" w:cs="仿宋"/>
          <w:b/>
          <w:bCs/>
          <w:i w:val="0"/>
          <w:iCs w:val="0"/>
          <w:caps w:val="0"/>
          <w:color w:val="0F1115"/>
          <w:spacing w:val="0"/>
          <w:sz w:val="32"/>
          <w:szCs w:val="32"/>
          <w:highlight w:val="none"/>
          <w:u w:val="none"/>
          <w:shd w:val="clear" w:color="auto" w:fill="FFFFFF"/>
          <w:lang w:val="en-US" w:eastAsia="zh-CN"/>
        </w:rPr>
        <w:t>2.</w:t>
      </w:r>
      <w:r>
        <w:rPr>
          <w:rFonts w:hint="default" w:ascii="仿宋" w:hAnsi="仿宋" w:eastAsia="仿宋" w:cs="仿宋"/>
          <w:b/>
          <w:bCs/>
          <w:i w:val="0"/>
          <w:iCs w:val="0"/>
          <w:caps w:val="0"/>
          <w:color w:val="0F1115"/>
          <w:spacing w:val="0"/>
          <w:sz w:val="32"/>
          <w:szCs w:val="32"/>
          <w:highlight w:val="none"/>
          <w:u w:val="none"/>
          <w:shd w:val="clear" w:color="auto" w:fill="FFFFFF"/>
        </w:rPr>
        <w:t>推广“测-配-产-供-施”一体化服务</w:t>
      </w:r>
      <w:r>
        <w:rPr>
          <w:rFonts w:hint="eastAsia" w:ascii="仿宋" w:hAnsi="仿宋" w:eastAsia="仿宋" w:cs="仿宋"/>
          <w:b/>
          <w:bCs/>
          <w:i w:val="0"/>
          <w:iCs w:val="0"/>
          <w:caps w:val="0"/>
          <w:color w:val="0F1115"/>
          <w:spacing w:val="0"/>
          <w:sz w:val="32"/>
          <w:szCs w:val="32"/>
          <w:highlight w:val="none"/>
          <w:u w:val="none"/>
          <w:shd w:val="clear" w:color="auto" w:fill="FFFFFF"/>
          <w:lang w:eastAsia="zh-CN"/>
        </w:rPr>
        <w:t>。</w:t>
      </w:r>
      <w:r>
        <w:rPr>
          <w:rFonts w:hint="default" w:ascii="仿宋" w:hAnsi="仿宋" w:eastAsia="仿宋" w:cs="仿宋"/>
          <w:b w:val="0"/>
          <w:bCs w:val="0"/>
          <w:i w:val="0"/>
          <w:iCs w:val="0"/>
          <w:caps w:val="0"/>
          <w:color w:val="0F1115"/>
          <w:spacing w:val="0"/>
          <w:sz w:val="32"/>
          <w:szCs w:val="32"/>
          <w:highlight w:val="none"/>
          <w:u w:val="none"/>
          <w:shd w:val="clear" w:color="auto" w:fill="FFFFFF"/>
        </w:rPr>
        <w:t>以庄稼医院为终端，利用测土数据，联合生产企业定制配方肥，并通过智能配肥站、社会化服务组织精准施用到田。</w:t>
      </w:r>
    </w:p>
    <w:p w14:paraId="0CF4FB54">
      <w:pPr>
        <w:pStyle w:val="11"/>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643" w:firstLineChars="200"/>
        <w:jc w:val="both"/>
        <w:textAlignment w:val="auto"/>
        <w:rPr>
          <w:rFonts w:hint="eastAsia" w:ascii="仿宋" w:hAnsi="仿宋" w:eastAsia="仿宋" w:cs="仿宋"/>
          <w:b w:val="0"/>
          <w:bCs w:val="0"/>
          <w:i w:val="0"/>
          <w:iCs w:val="0"/>
          <w:caps w:val="0"/>
          <w:color w:val="0F1115"/>
          <w:spacing w:val="0"/>
          <w:sz w:val="32"/>
          <w:szCs w:val="32"/>
          <w:highlight w:val="none"/>
          <w:u w:val="none"/>
          <w:shd w:val="clear" w:color="auto" w:fill="FFFFFF"/>
        </w:rPr>
      </w:pPr>
      <w:r>
        <w:rPr>
          <w:rFonts w:hint="eastAsia" w:ascii="仿宋" w:hAnsi="仿宋" w:eastAsia="仿宋" w:cs="仿宋"/>
          <w:b/>
          <w:bCs/>
          <w:i w:val="0"/>
          <w:iCs w:val="0"/>
          <w:caps w:val="0"/>
          <w:color w:val="0F1115"/>
          <w:spacing w:val="0"/>
          <w:sz w:val="32"/>
          <w:szCs w:val="32"/>
          <w:highlight w:val="none"/>
          <w:u w:val="none"/>
          <w:shd w:val="clear" w:color="auto" w:fill="FFFFFF"/>
          <w:lang w:val="en-US" w:eastAsia="zh-CN"/>
        </w:rPr>
        <w:t>3.</w:t>
      </w:r>
      <w:r>
        <w:rPr>
          <w:rFonts w:hint="default" w:ascii="仿宋" w:hAnsi="仿宋" w:eastAsia="仿宋" w:cs="仿宋"/>
          <w:b/>
          <w:bCs/>
          <w:i w:val="0"/>
          <w:iCs w:val="0"/>
          <w:caps w:val="0"/>
          <w:color w:val="0F1115"/>
          <w:spacing w:val="0"/>
          <w:sz w:val="32"/>
          <w:szCs w:val="32"/>
          <w:highlight w:val="none"/>
          <w:u w:val="none"/>
          <w:shd w:val="clear" w:color="auto" w:fill="FFFFFF"/>
        </w:rPr>
        <w:t>构建“农业废弃物—资源化利用”闭环</w:t>
      </w:r>
      <w:r>
        <w:rPr>
          <w:rFonts w:hint="eastAsia" w:ascii="仿宋" w:hAnsi="仿宋" w:eastAsia="仿宋" w:cs="仿宋"/>
          <w:b/>
          <w:bCs/>
          <w:i w:val="0"/>
          <w:iCs w:val="0"/>
          <w:caps w:val="0"/>
          <w:color w:val="0F1115"/>
          <w:spacing w:val="0"/>
          <w:sz w:val="32"/>
          <w:szCs w:val="32"/>
          <w:highlight w:val="none"/>
          <w:u w:val="none"/>
          <w:shd w:val="clear" w:color="auto" w:fill="FFFFFF"/>
          <w:lang w:eastAsia="zh-CN"/>
        </w:rPr>
        <w:t>。</w:t>
      </w:r>
      <w:r>
        <w:rPr>
          <w:rFonts w:hint="default" w:ascii="仿宋" w:hAnsi="仿宋" w:eastAsia="仿宋" w:cs="仿宋"/>
          <w:b w:val="0"/>
          <w:bCs w:val="0"/>
          <w:i w:val="0"/>
          <w:iCs w:val="0"/>
          <w:caps w:val="0"/>
          <w:color w:val="0F1115"/>
          <w:spacing w:val="0"/>
          <w:sz w:val="32"/>
          <w:szCs w:val="32"/>
          <w:highlight w:val="none"/>
          <w:u w:val="none"/>
          <w:shd w:val="clear" w:color="auto" w:fill="FFFFFF"/>
        </w:rPr>
        <w:t>将农资服务与再生资源业务结合，建立农药包装废弃物、废旧农膜、秸秆的回收处理体系，生产有机肥或其它资源化产品，服务农业绿色发展。</w:t>
      </w:r>
    </w:p>
    <w:p w14:paraId="0E89506F">
      <w:pPr>
        <w:pStyle w:val="3"/>
        <w:bidi w:val="0"/>
        <w:rPr>
          <w:rFonts w:hint="eastAsia"/>
          <w:lang w:val="en-US" w:eastAsia="zh-CN"/>
        </w:rPr>
      </w:pPr>
      <w:bookmarkStart w:id="31" w:name="_Toc6547"/>
      <w:r>
        <w:rPr>
          <w:rFonts w:hint="eastAsia"/>
          <w:lang w:val="en-US" w:eastAsia="zh-CN"/>
        </w:rPr>
        <w:t>七、加快建成农资供应“主渠道”，提升供销市场“占有率”</w:t>
      </w:r>
      <w:bookmarkEnd w:id="31"/>
    </w:p>
    <w:p w14:paraId="23ACD239">
      <w:pPr>
        <w:pStyle w:val="4"/>
        <w:bidi w:val="0"/>
        <w:ind w:firstLine="880"/>
        <w:rPr>
          <w:rFonts w:hint="eastAsia" w:ascii="Arial" w:hAnsi="Arial"/>
          <w:b w:val="0"/>
          <w:lang w:val="en-US" w:eastAsia="zh-CN"/>
        </w:rPr>
      </w:pPr>
      <w:bookmarkStart w:id="32" w:name="_Toc2490"/>
      <w:r>
        <w:rPr>
          <w:rFonts w:hint="eastAsia" w:ascii="Arial" w:hAnsi="Arial"/>
          <w:b w:val="0"/>
          <w:lang w:val="en-US" w:eastAsia="zh-CN"/>
        </w:rPr>
        <w:t>（一）任务目标</w:t>
      </w:r>
      <w:bookmarkEnd w:id="32"/>
    </w:p>
    <w:p w14:paraId="2CDD688B">
      <w:pPr>
        <w:keepNext w:val="0"/>
        <w:keepLines w:val="0"/>
        <w:pageBreakBefore w:val="0"/>
        <w:wordWrap/>
        <w:overflowPunct/>
        <w:topLinePunct w:val="0"/>
        <w:bidi w:val="0"/>
        <w:adjustRightInd/>
        <w:snapToGrid/>
        <w:spacing w:line="240" w:lineRule="auto"/>
        <w:ind w:firstLine="640" w:firstLineChars="200"/>
        <w:jc w:val="both"/>
        <w:rPr>
          <w:rFonts w:hint="eastAsia" w:ascii="仿宋" w:hAnsi="仿宋" w:eastAsia="仿宋" w:cs="仿宋"/>
          <w:sz w:val="32"/>
          <w:szCs w:val="32"/>
          <w:highlight w:val="none"/>
          <w:u w:val="none"/>
          <w:lang w:val="en-US" w:eastAsia="zh-CN"/>
        </w:rPr>
      </w:pPr>
      <w:r>
        <w:rPr>
          <w:rFonts w:hint="eastAsia" w:ascii="仿宋" w:hAnsi="仿宋" w:eastAsia="仿宋" w:cs="仿宋"/>
          <w:sz w:val="32"/>
          <w:szCs w:val="32"/>
          <w:highlight w:val="none"/>
          <w:u w:val="none"/>
          <w:lang w:val="en-US" w:eastAsia="zh-CN"/>
        </w:rPr>
        <w:t>聚焦服务保障全市粮食安全和重要农产品稳定供给，以构建绿色、智慧、安全的现代农资经营服务体系为核心，围绕“稳渠道、强储备、优网络、提服务、促转型”的工作思路，推进农资产业链供应链优化升级，形成集绿色生产、高效流通、应急储备、精准服务于一体的农资综合服务体系，推动农资供应从传统流通向现代农业社会化服务延伸，不断提升全市农资市场占有率和服务主导能力。到2030年，确保全市供销系统农资市场占有率稳定在70%以上，化肥农药使用量持续减量增效，农资包装废弃物回收处理体系基本健全，农资供应主渠道地位更加稳固，农业社会化服务水平显著提升。</w:t>
      </w:r>
    </w:p>
    <w:p w14:paraId="369477BE">
      <w:pPr>
        <w:pStyle w:val="4"/>
        <w:bidi w:val="0"/>
        <w:ind w:firstLine="880"/>
        <w:rPr>
          <w:rFonts w:hint="eastAsia" w:ascii="Arial" w:hAnsi="Arial"/>
          <w:b w:val="0"/>
          <w:lang w:val="en-US" w:eastAsia="zh-CN"/>
        </w:rPr>
      </w:pPr>
      <w:bookmarkStart w:id="33" w:name="_Toc23328"/>
      <w:r>
        <w:rPr>
          <w:rFonts w:hint="eastAsia" w:ascii="Arial" w:hAnsi="Arial"/>
          <w:b w:val="0"/>
          <w:lang w:val="en-US" w:eastAsia="zh-CN"/>
        </w:rPr>
        <w:t>（二）分年度计划</w:t>
      </w:r>
      <w:bookmarkEnd w:id="33"/>
    </w:p>
    <w:p w14:paraId="2FD6B078">
      <w:pPr>
        <w:pStyle w:val="16"/>
        <w:keepNext w:val="0"/>
        <w:keepLines w:val="0"/>
        <w:pageBreakBefore w:val="0"/>
        <w:widowControl w:val="0"/>
        <w:numPr>
          <w:ilvl w:val="0"/>
          <w:numId w:val="0"/>
        </w:numPr>
        <w:wordWrap/>
        <w:overflowPunct/>
        <w:topLinePunct w:val="0"/>
        <w:autoSpaceDE w:val="0"/>
        <w:autoSpaceDN w:val="0"/>
        <w:bidi w:val="0"/>
        <w:adjustRightInd/>
        <w:snapToGrid/>
        <w:spacing w:line="240" w:lineRule="auto"/>
        <w:ind w:firstLine="640" w:firstLineChars="200"/>
        <w:jc w:val="both"/>
        <w:rPr>
          <w:rFonts w:hint="eastAsia" w:ascii="仿宋" w:hAnsi="仿宋" w:eastAsia="仿宋" w:cs="仿宋"/>
          <w:sz w:val="32"/>
          <w:szCs w:val="32"/>
          <w:highlight w:val="none"/>
          <w:u w:val="none"/>
          <w:lang w:val="en-US" w:eastAsia="zh-CN"/>
        </w:rPr>
      </w:pPr>
      <w:r>
        <w:rPr>
          <w:rFonts w:hint="eastAsia" w:ascii="仿宋" w:hAnsi="仿宋" w:eastAsia="仿宋" w:cs="仿宋"/>
          <w:sz w:val="32"/>
          <w:szCs w:val="32"/>
          <w:highlight w:val="none"/>
          <w:u w:val="none"/>
          <w:lang w:val="en-US" w:eastAsia="zh-CN"/>
        </w:rPr>
        <w:t>2026年：完成农资流通网络数字化改造方案，启动主要网点“上平台”工作。优化储备布局，启动1-2个区域性仓储设施升级。绿色农资推广比例提升5个百分点。</w:t>
      </w:r>
    </w:p>
    <w:p w14:paraId="0B1622B4">
      <w:pPr>
        <w:pStyle w:val="16"/>
        <w:keepNext w:val="0"/>
        <w:keepLines w:val="0"/>
        <w:pageBreakBefore w:val="0"/>
        <w:widowControl w:val="0"/>
        <w:numPr>
          <w:ilvl w:val="0"/>
          <w:numId w:val="0"/>
        </w:numPr>
        <w:wordWrap/>
        <w:overflowPunct/>
        <w:topLinePunct w:val="0"/>
        <w:autoSpaceDE w:val="0"/>
        <w:autoSpaceDN w:val="0"/>
        <w:bidi w:val="0"/>
        <w:adjustRightInd/>
        <w:snapToGrid/>
        <w:spacing w:line="240" w:lineRule="auto"/>
        <w:ind w:firstLine="640" w:firstLineChars="200"/>
        <w:jc w:val="both"/>
        <w:rPr>
          <w:rFonts w:hint="eastAsia" w:ascii="仿宋" w:hAnsi="仿宋" w:eastAsia="仿宋" w:cs="仿宋"/>
          <w:sz w:val="32"/>
          <w:szCs w:val="32"/>
          <w:highlight w:val="none"/>
          <w:u w:val="none"/>
          <w:lang w:val="en-US" w:eastAsia="zh-CN"/>
        </w:rPr>
      </w:pPr>
      <w:r>
        <w:rPr>
          <w:rFonts w:hint="eastAsia" w:ascii="仿宋" w:hAnsi="仿宋" w:eastAsia="仿宋" w:cs="仿宋"/>
          <w:sz w:val="32"/>
          <w:szCs w:val="32"/>
          <w:highlight w:val="none"/>
          <w:u w:val="none"/>
          <w:lang w:val="en-US" w:eastAsia="zh-CN"/>
        </w:rPr>
        <w:t>2027年：农资数字化平台基本建成并投入运行，实现主要业务在线办理。完成市级化肥保供储备库建设并争取纳入省级网络。村级标准化服务点覆盖率提升至60%。</w:t>
      </w:r>
    </w:p>
    <w:p w14:paraId="574AD02A">
      <w:pPr>
        <w:pStyle w:val="16"/>
        <w:keepNext w:val="0"/>
        <w:keepLines w:val="0"/>
        <w:pageBreakBefore w:val="0"/>
        <w:widowControl w:val="0"/>
        <w:numPr>
          <w:ilvl w:val="0"/>
          <w:numId w:val="0"/>
        </w:numPr>
        <w:wordWrap/>
        <w:overflowPunct/>
        <w:topLinePunct w:val="0"/>
        <w:autoSpaceDE w:val="0"/>
        <w:autoSpaceDN w:val="0"/>
        <w:bidi w:val="0"/>
        <w:adjustRightInd/>
        <w:snapToGrid/>
        <w:spacing w:line="240" w:lineRule="auto"/>
        <w:ind w:firstLine="640" w:firstLineChars="200"/>
        <w:jc w:val="both"/>
        <w:rPr>
          <w:rFonts w:hint="eastAsia" w:ascii="仿宋" w:hAnsi="仿宋" w:eastAsia="仿宋" w:cs="仿宋"/>
          <w:sz w:val="32"/>
          <w:szCs w:val="32"/>
          <w:highlight w:val="none"/>
          <w:u w:val="none"/>
          <w:lang w:val="en-US" w:eastAsia="zh-CN"/>
        </w:rPr>
      </w:pPr>
      <w:r>
        <w:rPr>
          <w:rFonts w:hint="eastAsia" w:ascii="仿宋" w:hAnsi="仿宋" w:eastAsia="仿宋" w:cs="仿宋"/>
          <w:sz w:val="32"/>
          <w:szCs w:val="32"/>
          <w:highlight w:val="none"/>
          <w:u w:val="none"/>
          <w:lang w:val="en-US" w:eastAsia="zh-CN"/>
        </w:rPr>
        <w:t>2028年：农资供应链协同效率显著提升，应急响应机制完善。测土配方施肥、统防统治等服务面积大幅增加。农资包装废弃物回收网络覆盖主要乡镇。</w:t>
      </w:r>
    </w:p>
    <w:p w14:paraId="1DC6F0C4">
      <w:pPr>
        <w:pStyle w:val="16"/>
        <w:keepNext w:val="0"/>
        <w:keepLines w:val="0"/>
        <w:pageBreakBefore w:val="0"/>
        <w:widowControl w:val="0"/>
        <w:numPr>
          <w:ilvl w:val="0"/>
          <w:numId w:val="0"/>
        </w:numPr>
        <w:wordWrap/>
        <w:overflowPunct/>
        <w:topLinePunct w:val="0"/>
        <w:autoSpaceDE w:val="0"/>
        <w:autoSpaceDN w:val="0"/>
        <w:bidi w:val="0"/>
        <w:adjustRightInd/>
        <w:snapToGrid/>
        <w:spacing w:line="240" w:lineRule="auto"/>
        <w:ind w:firstLine="640" w:firstLineChars="200"/>
        <w:jc w:val="both"/>
        <w:rPr>
          <w:rFonts w:hint="eastAsia" w:ascii="仿宋" w:hAnsi="仿宋" w:eastAsia="仿宋" w:cs="仿宋"/>
          <w:sz w:val="32"/>
          <w:szCs w:val="32"/>
          <w:highlight w:val="none"/>
          <w:u w:val="none"/>
          <w:lang w:val="en-US" w:eastAsia="zh-CN"/>
        </w:rPr>
      </w:pPr>
      <w:r>
        <w:rPr>
          <w:rFonts w:hint="eastAsia" w:ascii="仿宋" w:hAnsi="仿宋" w:eastAsia="仿宋" w:cs="仿宋"/>
          <w:sz w:val="32"/>
          <w:szCs w:val="32"/>
          <w:highlight w:val="none"/>
          <w:u w:val="none"/>
          <w:lang w:val="en-US" w:eastAsia="zh-CN"/>
        </w:rPr>
        <w:t>2029年：建成智慧、高效、绿色的现代农资经营服务体系。农资销售与技术服务深度融合，培育1-2家区域性农资农服骨干企业。</w:t>
      </w:r>
    </w:p>
    <w:p w14:paraId="39B8AD39">
      <w:pPr>
        <w:pStyle w:val="16"/>
        <w:keepNext w:val="0"/>
        <w:keepLines w:val="0"/>
        <w:pageBreakBefore w:val="0"/>
        <w:widowControl w:val="0"/>
        <w:numPr>
          <w:ilvl w:val="0"/>
          <w:numId w:val="0"/>
        </w:numPr>
        <w:wordWrap/>
        <w:overflowPunct/>
        <w:topLinePunct w:val="0"/>
        <w:autoSpaceDE w:val="0"/>
        <w:autoSpaceDN w:val="0"/>
        <w:bidi w:val="0"/>
        <w:adjustRightInd/>
        <w:snapToGrid/>
        <w:spacing w:line="240" w:lineRule="auto"/>
        <w:ind w:firstLine="640" w:firstLineChars="200"/>
        <w:jc w:val="both"/>
        <w:rPr>
          <w:rFonts w:hint="eastAsia" w:ascii="仿宋" w:hAnsi="仿宋" w:eastAsia="仿宋" w:cs="仿宋"/>
          <w:sz w:val="32"/>
          <w:szCs w:val="32"/>
          <w:highlight w:val="none"/>
          <w:u w:val="none"/>
          <w:lang w:val="en-US" w:eastAsia="zh-CN"/>
        </w:rPr>
      </w:pPr>
      <w:r>
        <w:rPr>
          <w:rFonts w:hint="eastAsia" w:ascii="仿宋" w:hAnsi="仿宋" w:eastAsia="仿宋" w:cs="仿宋"/>
          <w:sz w:val="32"/>
          <w:szCs w:val="32"/>
          <w:highlight w:val="none"/>
          <w:u w:val="none"/>
          <w:lang w:val="en-US" w:eastAsia="zh-CN"/>
        </w:rPr>
        <w:t>2030年：全面实现任务目标，农资供应主渠道作用充分发挥，为农业绿色发展提供坚实支撑。</w:t>
      </w:r>
    </w:p>
    <w:p w14:paraId="064AB6AE">
      <w:pPr>
        <w:pStyle w:val="4"/>
        <w:bidi w:val="0"/>
        <w:ind w:firstLine="880"/>
        <w:rPr>
          <w:rFonts w:hint="default" w:ascii="Arial" w:hAnsi="Arial"/>
          <w:b w:val="0"/>
          <w:lang w:val="en-US" w:eastAsia="zh-CN"/>
        </w:rPr>
      </w:pPr>
      <w:bookmarkStart w:id="34" w:name="_Toc30990"/>
      <w:r>
        <w:rPr>
          <w:rFonts w:hint="eastAsia" w:ascii="Arial" w:hAnsi="Arial"/>
          <w:b w:val="0"/>
          <w:lang w:val="en-US" w:eastAsia="zh-CN"/>
        </w:rPr>
        <w:t>（三）具体措施</w:t>
      </w:r>
      <w:bookmarkEnd w:id="34"/>
    </w:p>
    <w:p w14:paraId="0099C5FE">
      <w:pPr>
        <w:keepNext w:val="0"/>
        <w:keepLines w:val="0"/>
        <w:pageBreakBefore w:val="0"/>
        <w:wordWrap/>
        <w:overflowPunct/>
        <w:topLinePunct w:val="0"/>
        <w:bidi w:val="0"/>
        <w:adjustRightInd/>
        <w:snapToGrid/>
        <w:spacing w:line="240" w:lineRule="auto"/>
        <w:ind w:firstLine="643" w:firstLineChars="200"/>
        <w:jc w:val="both"/>
        <w:rPr>
          <w:rFonts w:hint="eastAsia" w:ascii="仿宋" w:hAnsi="仿宋" w:eastAsia="仿宋" w:cs="仿宋"/>
          <w:b/>
          <w:bCs/>
          <w:sz w:val="32"/>
          <w:szCs w:val="32"/>
          <w:highlight w:val="none"/>
          <w:u w:val="none"/>
          <w:lang w:val="en-US" w:eastAsia="zh-CN"/>
        </w:rPr>
      </w:pPr>
      <w:r>
        <w:rPr>
          <w:rFonts w:hint="eastAsia" w:ascii="仿宋" w:hAnsi="仿宋" w:eastAsia="仿宋" w:cs="仿宋"/>
          <w:b/>
          <w:bCs/>
          <w:sz w:val="32"/>
          <w:szCs w:val="32"/>
          <w:highlight w:val="none"/>
          <w:u w:val="none"/>
          <w:lang w:val="en-US" w:eastAsia="zh-CN"/>
        </w:rPr>
        <w:t>1.推进农资流通数字化与平台化升级</w:t>
      </w:r>
    </w:p>
    <w:p w14:paraId="2C7D38F3">
      <w:pPr>
        <w:pStyle w:val="16"/>
        <w:keepNext w:val="0"/>
        <w:keepLines w:val="0"/>
        <w:pageBreakBefore w:val="0"/>
        <w:widowControl w:val="0"/>
        <w:numPr>
          <w:ilvl w:val="0"/>
          <w:numId w:val="0"/>
        </w:numPr>
        <w:wordWrap/>
        <w:overflowPunct/>
        <w:topLinePunct w:val="0"/>
        <w:autoSpaceDE w:val="0"/>
        <w:autoSpaceDN w:val="0"/>
        <w:bidi w:val="0"/>
        <w:adjustRightInd/>
        <w:snapToGrid/>
        <w:spacing w:line="240" w:lineRule="auto"/>
        <w:ind w:firstLine="640" w:firstLineChars="200"/>
        <w:jc w:val="both"/>
        <w:rPr>
          <w:rFonts w:hint="eastAsia" w:ascii="仿宋" w:hAnsi="仿宋" w:eastAsia="仿宋" w:cs="仿宋"/>
          <w:sz w:val="32"/>
          <w:szCs w:val="32"/>
          <w:highlight w:val="none"/>
          <w:u w:val="none"/>
          <w:lang w:val="en-US" w:eastAsia="zh-CN"/>
        </w:rPr>
      </w:pPr>
      <w:r>
        <w:rPr>
          <w:rFonts w:hint="eastAsia" w:ascii="仿宋" w:hAnsi="仿宋" w:eastAsia="仿宋" w:cs="仿宋"/>
          <w:sz w:val="32"/>
          <w:szCs w:val="32"/>
          <w:highlight w:val="none"/>
          <w:u w:val="none"/>
          <w:lang w:val="en-US" w:eastAsia="zh-CN"/>
        </w:rPr>
        <w:t>以数字化改革为牵引，积极对接并融入全省“农资链”平台，推动农资经营服务线上线下融合发展。支持农资龙头企业、基层服务网点“上平台、用数据”，推广应用智能配肥、在线订货、物流跟踪、农技咨询等数字化服务功能。探索发展农资“云团购”、直播带货等新模式，拓展线上销售渠道。依托平台整合农资需求、库存、物流等信息，提升资源调度和应急响应效率，推动农资流通向精准化、可视化、智能化转型，提高农资供应链整体协同能力。</w:t>
      </w:r>
    </w:p>
    <w:p w14:paraId="01649E09">
      <w:pPr>
        <w:pStyle w:val="16"/>
        <w:keepNext w:val="0"/>
        <w:keepLines w:val="0"/>
        <w:pageBreakBefore w:val="0"/>
        <w:widowControl w:val="0"/>
        <w:numPr>
          <w:ilvl w:val="0"/>
          <w:numId w:val="0"/>
        </w:numPr>
        <w:wordWrap/>
        <w:overflowPunct/>
        <w:topLinePunct w:val="0"/>
        <w:autoSpaceDE w:val="0"/>
        <w:autoSpaceDN w:val="0"/>
        <w:bidi w:val="0"/>
        <w:adjustRightInd/>
        <w:snapToGrid/>
        <w:spacing w:line="240" w:lineRule="auto"/>
        <w:ind w:firstLine="643" w:firstLineChars="200"/>
        <w:jc w:val="both"/>
        <w:rPr>
          <w:rFonts w:hint="eastAsia" w:ascii="仿宋" w:hAnsi="仿宋" w:eastAsia="仿宋" w:cs="仿宋"/>
          <w:b/>
          <w:bCs/>
          <w:color w:val="auto"/>
          <w:kern w:val="2"/>
          <w:sz w:val="32"/>
          <w:szCs w:val="32"/>
          <w:highlight w:val="none"/>
          <w:u w:val="none"/>
          <w:lang w:val="en-US" w:eastAsia="zh-CN" w:bidi="ar-SA"/>
        </w:rPr>
      </w:pPr>
      <w:r>
        <w:rPr>
          <w:rFonts w:hint="eastAsia" w:ascii="仿宋" w:hAnsi="仿宋" w:eastAsia="仿宋" w:cs="仿宋"/>
          <w:b/>
          <w:bCs/>
          <w:color w:val="auto"/>
          <w:kern w:val="2"/>
          <w:sz w:val="32"/>
          <w:szCs w:val="32"/>
          <w:highlight w:val="none"/>
          <w:u w:val="none"/>
          <w:lang w:val="en-US" w:eastAsia="zh-CN" w:bidi="ar-SA"/>
        </w:rPr>
        <w:t>2.实施农资网络优化与能力提升工程</w:t>
      </w:r>
    </w:p>
    <w:p w14:paraId="2F903F69">
      <w:pPr>
        <w:pStyle w:val="16"/>
        <w:keepNext w:val="0"/>
        <w:keepLines w:val="0"/>
        <w:pageBreakBefore w:val="0"/>
        <w:widowControl w:val="0"/>
        <w:numPr>
          <w:ilvl w:val="0"/>
          <w:numId w:val="0"/>
        </w:numPr>
        <w:wordWrap/>
        <w:overflowPunct/>
        <w:topLinePunct w:val="0"/>
        <w:autoSpaceDE w:val="0"/>
        <w:autoSpaceDN w:val="0"/>
        <w:bidi w:val="0"/>
        <w:adjustRightInd/>
        <w:snapToGrid/>
        <w:spacing w:line="240" w:lineRule="auto"/>
        <w:ind w:firstLine="640" w:firstLineChars="200"/>
        <w:jc w:val="both"/>
        <w:rPr>
          <w:rFonts w:hint="eastAsia" w:ascii="仿宋" w:hAnsi="仿宋" w:eastAsia="仿宋" w:cs="仿宋"/>
          <w:sz w:val="32"/>
          <w:szCs w:val="32"/>
          <w:highlight w:val="none"/>
          <w:u w:val="none"/>
          <w:lang w:val="en-US" w:eastAsia="zh-CN"/>
        </w:rPr>
      </w:pPr>
      <w:r>
        <w:rPr>
          <w:rFonts w:hint="eastAsia" w:ascii="仿宋" w:hAnsi="仿宋" w:eastAsia="仿宋" w:cs="仿宋"/>
          <w:sz w:val="32"/>
          <w:szCs w:val="32"/>
          <w:highlight w:val="none"/>
          <w:u w:val="none"/>
          <w:lang w:val="en-US" w:eastAsia="zh-CN"/>
        </w:rPr>
        <w:t>“稳渠道”保供应。加强与省内外优质农资生产企业的产销对接，建立稳定的货源渠道，保障钾肥等重要农资的稳定供应。支持有条件的企业参与省级钾肥储备体系建设，增强资源调控能力。</w:t>
      </w:r>
    </w:p>
    <w:p w14:paraId="5F63C8E4">
      <w:pPr>
        <w:pStyle w:val="16"/>
        <w:keepNext w:val="0"/>
        <w:keepLines w:val="0"/>
        <w:pageBreakBefore w:val="0"/>
        <w:widowControl w:val="0"/>
        <w:numPr>
          <w:ilvl w:val="0"/>
          <w:numId w:val="0"/>
        </w:numPr>
        <w:wordWrap/>
        <w:overflowPunct/>
        <w:topLinePunct w:val="0"/>
        <w:autoSpaceDE w:val="0"/>
        <w:autoSpaceDN w:val="0"/>
        <w:bidi w:val="0"/>
        <w:adjustRightInd/>
        <w:snapToGrid/>
        <w:spacing w:line="240" w:lineRule="auto"/>
        <w:ind w:firstLine="640" w:firstLineChars="200"/>
        <w:jc w:val="both"/>
        <w:rPr>
          <w:rFonts w:hint="eastAsia" w:ascii="仿宋" w:hAnsi="仿宋" w:eastAsia="仿宋" w:cs="仿宋"/>
          <w:sz w:val="32"/>
          <w:szCs w:val="32"/>
          <w:highlight w:val="none"/>
          <w:u w:val="none"/>
          <w:lang w:val="en-US" w:eastAsia="zh-CN"/>
        </w:rPr>
      </w:pPr>
      <w:r>
        <w:rPr>
          <w:rFonts w:hint="eastAsia" w:ascii="仿宋" w:hAnsi="仿宋" w:eastAsia="仿宋" w:cs="仿宋"/>
          <w:sz w:val="32"/>
          <w:szCs w:val="32"/>
          <w:highlight w:val="none"/>
          <w:u w:val="none"/>
          <w:lang w:val="en-US" w:eastAsia="zh-CN"/>
        </w:rPr>
        <w:t>“强储备”筑防线。完善市、区两级农资应急储备体系，优化储备布局，提升仓储设施现代化水平。推动中农湖北鄂州化肥保供储备库高效运营，争取纳入省级储备网络节点，增强区域农资应急保障和价格稳定能力。</w:t>
      </w:r>
    </w:p>
    <w:p w14:paraId="0A00E86B">
      <w:pPr>
        <w:pStyle w:val="16"/>
        <w:keepNext w:val="0"/>
        <w:keepLines w:val="0"/>
        <w:pageBreakBefore w:val="0"/>
        <w:widowControl w:val="0"/>
        <w:numPr>
          <w:ilvl w:val="0"/>
          <w:numId w:val="0"/>
        </w:numPr>
        <w:wordWrap/>
        <w:overflowPunct/>
        <w:topLinePunct w:val="0"/>
        <w:autoSpaceDE w:val="0"/>
        <w:autoSpaceDN w:val="0"/>
        <w:bidi w:val="0"/>
        <w:adjustRightInd/>
        <w:snapToGrid/>
        <w:spacing w:line="240" w:lineRule="auto"/>
        <w:ind w:firstLine="640" w:firstLineChars="200"/>
        <w:jc w:val="both"/>
        <w:rPr>
          <w:rFonts w:hint="eastAsia" w:ascii="仿宋" w:hAnsi="仿宋" w:eastAsia="仿宋" w:cs="仿宋"/>
          <w:sz w:val="32"/>
          <w:szCs w:val="32"/>
          <w:highlight w:val="none"/>
          <w:u w:val="none"/>
          <w:lang w:val="en-US" w:eastAsia="zh-CN"/>
        </w:rPr>
      </w:pPr>
      <w:r>
        <w:rPr>
          <w:rFonts w:hint="eastAsia" w:ascii="仿宋" w:hAnsi="仿宋" w:eastAsia="仿宋" w:cs="仿宋"/>
          <w:sz w:val="32"/>
          <w:szCs w:val="32"/>
          <w:highlight w:val="none"/>
          <w:u w:val="none"/>
          <w:lang w:val="en-US" w:eastAsia="zh-CN"/>
        </w:rPr>
        <w:t>“优网络”提效能。优化以市级配送中心为枢纽、区级运营中心为节点、乡镇综合服务站和村级服务点为终端的农资配送网络。推动网络下沉，提升村级网点的覆盖率和标准化水平，实现农资配送“最后一公里”畅通高效。</w:t>
      </w:r>
    </w:p>
    <w:p w14:paraId="1DDC7371">
      <w:pPr>
        <w:pStyle w:val="16"/>
        <w:keepNext w:val="0"/>
        <w:keepLines w:val="0"/>
        <w:pageBreakBefore w:val="0"/>
        <w:widowControl w:val="0"/>
        <w:numPr>
          <w:ilvl w:val="0"/>
          <w:numId w:val="0"/>
        </w:numPr>
        <w:wordWrap/>
        <w:overflowPunct/>
        <w:topLinePunct w:val="0"/>
        <w:autoSpaceDE w:val="0"/>
        <w:autoSpaceDN w:val="0"/>
        <w:bidi w:val="0"/>
        <w:adjustRightInd/>
        <w:snapToGrid/>
        <w:spacing w:line="240" w:lineRule="auto"/>
        <w:ind w:firstLine="640" w:firstLineChars="200"/>
        <w:jc w:val="both"/>
        <w:rPr>
          <w:rFonts w:hint="eastAsia" w:ascii="仿宋" w:hAnsi="仿宋" w:eastAsia="仿宋" w:cs="仿宋"/>
          <w:sz w:val="32"/>
          <w:szCs w:val="32"/>
          <w:highlight w:val="none"/>
          <w:u w:val="none"/>
          <w:lang w:val="en-US" w:eastAsia="zh-CN"/>
        </w:rPr>
      </w:pPr>
      <w:r>
        <w:rPr>
          <w:rFonts w:hint="eastAsia" w:ascii="仿宋" w:hAnsi="仿宋" w:eastAsia="仿宋" w:cs="仿宋"/>
          <w:sz w:val="32"/>
          <w:szCs w:val="32"/>
          <w:highlight w:val="none"/>
          <w:u w:val="none"/>
          <w:lang w:val="en-US" w:eastAsia="zh-CN"/>
        </w:rPr>
        <w:t>“提服务”促转型。依托基层网络，拓展测土配方施肥、统防统治、农机作业、技术培训等农业社会化服务，推动农资销售与技术服务深度融合，加快从农资供应商向农业综合服务商转型。</w:t>
      </w:r>
    </w:p>
    <w:p w14:paraId="0158CDA4">
      <w:pPr>
        <w:pStyle w:val="16"/>
        <w:keepNext w:val="0"/>
        <w:keepLines w:val="0"/>
        <w:pageBreakBefore w:val="0"/>
        <w:widowControl w:val="0"/>
        <w:numPr>
          <w:ilvl w:val="0"/>
          <w:numId w:val="0"/>
        </w:numPr>
        <w:wordWrap/>
        <w:overflowPunct/>
        <w:topLinePunct w:val="0"/>
        <w:autoSpaceDE w:val="0"/>
        <w:autoSpaceDN w:val="0"/>
        <w:bidi w:val="0"/>
        <w:adjustRightInd/>
        <w:snapToGrid/>
        <w:spacing w:line="240" w:lineRule="auto"/>
        <w:ind w:firstLine="640" w:firstLineChars="200"/>
        <w:jc w:val="both"/>
        <w:rPr>
          <w:rFonts w:hint="eastAsia" w:ascii="仿宋" w:hAnsi="仿宋" w:eastAsia="仿宋" w:cs="仿宋"/>
          <w:sz w:val="32"/>
          <w:szCs w:val="32"/>
          <w:highlight w:val="none"/>
          <w:u w:val="none"/>
          <w:lang w:val="en-US" w:eastAsia="zh-CN"/>
        </w:rPr>
      </w:pPr>
      <w:r>
        <w:rPr>
          <w:rFonts w:hint="eastAsia" w:ascii="仿宋" w:hAnsi="仿宋" w:eastAsia="仿宋" w:cs="仿宋"/>
          <w:sz w:val="32"/>
          <w:szCs w:val="32"/>
          <w:highlight w:val="none"/>
          <w:u w:val="none"/>
          <w:lang w:val="en-US" w:eastAsia="zh-CN"/>
        </w:rPr>
        <w:t>“促转型”强联合。鼓励市、区农资企业通过股权合作、业务协同等方式加强联合，培育1-2家区域性农资农服骨干企业。支持与农民合作社、家庭农场等新型农业经营主体建立紧密合作关系，发展订单农业、托管服务等模式。</w:t>
      </w:r>
    </w:p>
    <w:p w14:paraId="3AB551C6">
      <w:pPr>
        <w:pStyle w:val="16"/>
        <w:keepNext w:val="0"/>
        <w:keepLines w:val="0"/>
        <w:pageBreakBefore w:val="0"/>
        <w:widowControl w:val="0"/>
        <w:numPr>
          <w:ilvl w:val="0"/>
          <w:numId w:val="0"/>
        </w:numPr>
        <w:wordWrap/>
        <w:overflowPunct/>
        <w:topLinePunct w:val="0"/>
        <w:autoSpaceDE w:val="0"/>
        <w:autoSpaceDN w:val="0"/>
        <w:bidi w:val="0"/>
        <w:adjustRightInd/>
        <w:snapToGrid/>
        <w:spacing w:line="240" w:lineRule="auto"/>
        <w:ind w:firstLine="643" w:firstLineChars="200"/>
        <w:jc w:val="both"/>
        <w:rPr>
          <w:rFonts w:hint="eastAsia" w:ascii="仿宋" w:hAnsi="仿宋" w:eastAsia="仿宋" w:cs="仿宋"/>
          <w:b/>
          <w:bCs/>
          <w:color w:val="auto"/>
          <w:kern w:val="2"/>
          <w:sz w:val="32"/>
          <w:szCs w:val="32"/>
          <w:highlight w:val="none"/>
          <w:u w:val="none"/>
          <w:lang w:val="en-US" w:eastAsia="zh-CN" w:bidi="ar-SA"/>
        </w:rPr>
      </w:pPr>
      <w:r>
        <w:rPr>
          <w:rFonts w:hint="eastAsia" w:ascii="仿宋" w:hAnsi="仿宋" w:eastAsia="仿宋" w:cs="仿宋"/>
          <w:b/>
          <w:bCs/>
          <w:color w:val="auto"/>
          <w:kern w:val="2"/>
          <w:sz w:val="32"/>
          <w:szCs w:val="32"/>
          <w:highlight w:val="none"/>
          <w:u w:val="none"/>
          <w:lang w:val="en-US" w:eastAsia="zh-CN" w:bidi="ar-SA"/>
        </w:rPr>
        <w:t>3.健全农资保供稳价长效机制</w:t>
      </w:r>
    </w:p>
    <w:p w14:paraId="04651E0C">
      <w:pPr>
        <w:pStyle w:val="16"/>
        <w:keepNext w:val="0"/>
        <w:keepLines w:val="0"/>
        <w:pageBreakBefore w:val="0"/>
        <w:widowControl w:val="0"/>
        <w:numPr>
          <w:ilvl w:val="0"/>
          <w:numId w:val="0"/>
        </w:numPr>
        <w:wordWrap/>
        <w:overflowPunct/>
        <w:topLinePunct w:val="0"/>
        <w:autoSpaceDE w:val="0"/>
        <w:autoSpaceDN w:val="0"/>
        <w:bidi w:val="0"/>
        <w:adjustRightInd/>
        <w:snapToGrid/>
        <w:spacing w:line="240" w:lineRule="auto"/>
        <w:ind w:firstLine="640" w:firstLineChars="200"/>
        <w:jc w:val="both"/>
        <w:rPr>
          <w:rFonts w:hint="eastAsia" w:ascii="仿宋" w:hAnsi="仿宋" w:eastAsia="仿宋" w:cs="仿宋"/>
          <w:sz w:val="32"/>
          <w:szCs w:val="32"/>
          <w:highlight w:val="none"/>
          <w:u w:val="none"/>
          <w:lang w:val="en-US" w:eastAsia="zh-CN"/>
        </w:rPr>
      </w:pPr>
      <w:r>
        <w:rPr>
          <w:rFonts w:hint="eastAsia" w:ascii="仿宋" w:hAnsi="仿宋" w:eastAsia="仿宋" w:cs="仿宋"/>
          <w:sz w:val="32"/>
          <w:szCs w:val="32"/>
          <w:highlight w:val="none"/>
          <w:u w:val="none"/>
          <w:lang w:val="en-US" w:eastAsia="zh-CN"/>
        </w:rPr>
        <w:t>压实市、区供销社农资保供主体责任，建立健全市级农资保供工作协调机制，加强与农业农村、发改、市场监管等部门的沟通协作。依托农资骨干企业，建立农资市场监测预警体系，动态掌握供需和价格情况，强化储备调节和应急投放能力。推动系统内农资企业诚信经营，带头稳定市场价格，配合相关部门开展农资打假专项行动，坚决杜绝假冒伪劣农资通过供销渠道流入市场，维护农民利益和农资市场秩序。</w:t>
      </w:r>
    </w:p>
    <w:p w14:paraId="45309004">
      <w:pPr>
        <w:pStyle w:val="16"/>
        <w:keepNext w:val="0"/>
        <w:keepLines w:val="0"/>
        <w:pageBreakBefore w:val="0"/>
        <w:widowControl w:val="0"/>
        <w:numPr>
          <w:ilvl w:val="0"/>
          <w:numId w:val="0"/>
        </w:numPr>
        <w:wordWrap/>
        <w:overflowPunct/>
        <w:topLinePunct w:val="0"/>
        <w:autoSpaceDE w:val="0"/>
        <w:autoSpaceDN w:val="0"/>
        <w:bidi w:val="0"/>
        <w:adjustRightInd/>
        <w:snapToGrid/>
        <w:spacing w:line="240" w:lineRule="auto"/>
        <w:ind w:firstLine="643" w:firstLineChars="200"/>
        <w:jc w:val="both"/>
        <w:rPr>
          <w:rFonts w:hint="eastAsia" w:ascii="仿宋" w:hAnsi="仿宋" w:eastAsia="仿宋" w:cs="仿宋"/>
          <w:b/>
          <w:bCs/>
          <w:color w:val="auto"/>
          <w:kern w:val="2"/>
          <w:sz w:val="32"/>
          <w:szCs w:val="32"/>
          <w:highlight w:val="none"/>
          <w:u w:val="none"/>
          <w:lang w:val="en-US" w:eastAsia="zh-CN" w:bidi="ar-SA"/>
        </w:rPr>
      </w:pPr>
      <w:r>
        <w:rPr>
          <w:rFonts w:hint="eastAsia" w:ascii="仿宋" w:hAnsi="仿宋" w:eastAsia="仿宋" w:cs="仿宋"/>
          <w:b/>
          <w:bCs/>
          <w:color w:val="auto"/>
          <w:kern w:val="2"/>
          <w:sz w:val="32"/>
          <w:szCs w:val="32"/>
          <w:highlight w:val="none"/>
          <w:u w:val="none"/>
          <w:lang w:val="en-US" w:eastAsia="zh-CN" w:bidi="ar-SA"/>
        </w:rPr>
        <w:t>4.深化绿色农资推广与农业面源污染防治</w:t>
      </w:r>
    </w:p>
    <w:p w14:paraId="0D126116">
      <w:pPr>
        <w:pStyle w:val="16"/>
        <w:keepNext w:val="0"/>
        <w:keepLines w:val="0"/>
        <w:pageBreakBefore w:val="0"/>
        <w:widowControl w:val="0"/>
        <w:numPr>
          <w:ilvl w:val="0"/>
          <w:numId w:val="0"/>
        </w:numPr>
        <w:wordWrap/>
        <w:overflowPunct/>
        <w:topLinePunct w:val="0"/>
        <w:autoSpaceDE w:val="0"/>
        <w:autoSpaceDN w:val="0"/>
        <w:bidi w:val="0"/>
        <w:adjustRightInd/>
        <w:snapToGrid/>
        <w:spacing w:line="240" w:lineRule="auto"/>
        <w:ind w:firstLine="640" w:firstLineChars="200"/>
        <w:jc w:val="both"/>
        <w:rPr>
          <w:rFonts w:hint="default" w:ascii="仿宋" w:hAnsi="仿宋" w:eastAsia="仿宋" w:cs="仿宋"/>
          <w:sz w:val="32"/>
          <w:szCs w:val="32"/>
          <w:highlight w:val="none"/>
          <w:u w:val="none"/>
          <w:lang w:val="en-US" w:eastAsia="zh-CN"/>
        </w:rPr>
      </w:pPr>
      <w:r>
        <w:rPr>
          <w:rFonts w:hint="eastAsia" w:ascii="仿宋" w:hAnsi="仿宋" w:eastAsia="仿宋" w:cs="仿宋"/>
          <w:sz w:val="32"/>
          <w:szCs w:val="32"/>
          <w:highlight w:val="none"/>
          <w:u w:val="none"/>
          <w:lang w:val="en-US" w:eastAsia="zh-CN"/>
        </w:rPr>
        <w:t>持续推进化肥农药减量增效，扩大水溶肥、有机肥、缓释肥、高效低毒低残留农药等绿色农资的采购和推广比例。依托基层服务网点，加强科学施肥用药技术培训和指导服务。积极探索“种肥药一体化”“农机农艺融合”等绿色生产技术模式的应用推广。建立健全农资包装废弃物和废旧农膜回收处理体系，依托供销网络开展回收服务，推广加厚和全生物降解地膜，促进农业绿色发展和农村环境改善。</w:t>
      </w:r>
    </w:p>
    <w:tbl>
      <w:tblPr>
        <w:tblStyle w:val="13"/>
        <w:tblpPr w:leftFromText="180" w:rightFromText="180" w:vertAnchor="text" w:horzAnchor="page" w:tblpX="1816" w:tblpY="162"/>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5D0F0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522" w:type="dxa"/>
            <w:noWrap w:val="0"/>
            <w:vAlign w:val="top"/>
          </w:tcPr>
          <w:p w14:paraId="56474792">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default" w:ascii="仿宋_GB2312" w:hAnsi="仿宋_GB2312" w:eastAsia="黑体" w:cs="仿宋_GB2312"/>
                <w:b w:val="0"/>
                <w:bCs w:val="0"/>
                <w:sz w:val="32"/>
                <w:szCs w:val="32"/>
                <w:highlight w:val="none"/>
                <w:u w:val="none"/>
                <w:vertAlign w:val="baseline"/>
                <w:lang w:val="en-US" w:eastAsia="zh-CN"/>
              </w:rPr>
            </w:pPr>
            <w:r>
              <w:rPr>
                <w:rFonts w:hint="eastAsia" w:ascii="黑体" w:hAnsi="黑体" w:eastAsia="黑体" w:cs="黑体"/>
                <w:b w:val="0"/>
                <w:bCs w:val="0"/>
                <w:sz w:val="32"/>
                <w:szCs w:val="32"/>
                <w:highlight w:val="none"/>
                <w:u w:val="none"/>
                <w:vertAlign w:val="baseline"/>
                <w:lang w:val="en-US" w:eastAsia="zh-CN"/>
              </w:rPr>
              <w:t>项目专栏</w:t>
            </w:r>
          </w:p>
        </w:tc>
      </w:tr>
      <w:tr w14:paraId="61EBC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trPr>
        <w:tc>
          <w:tcPr>
            <w:tcW w:w="8522" w:type="dxa"/>
            <w:noWrap w:val="0"/>
            <w:vAlign w:val="top"/>
          </w:tcPr>
          <w:p w14:paraId="679AD76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jc w:val="both"/>
              <w:textAlignment w:val="auto"/>
              <w:rPr>
                <w:rFonts w:hint="default"/>
                <w:highlight w:val="none"/>
                <w:u w:val="none"/>
                <w:lang w:val="en-US" w:eastAsia="zh-CN"/>
              </w:rPr>
            </w:pPr>
            <w:r>
              <w:rPr>
                <w:rFonts w:hint="eastAsia" w:ascii="黑体" w:hAnsi="黑体" w:eastAsia="黑体" w:cs="黑体"/>
                <w:b w:val="0"/>
                <w:bCs w:val="0"/>
                <w:snapToGrid w:val="0"/>
                <w:color w:val="auto"/>
                <w:spacing w:val="0"/>
                <w:kern w:val="0"/>
                <w:sz w:val="32"/>
                <w:szCs w:val="32"/>
                <w:highlight w:val="none"/>
                <w:u w:val="none"/>
                <w:lang w:val="en-US" w:eastAsia="zh-CN" w:bidi="ar"/>
              </w:rPr>
              <w:t>华蒲丰农资供应中心建设项目:</w:t>
            </w:r>
            <w:r>
              <w:rPr>
                <w:rFonts w:hint="eastAsia" w:ascii="仿宋" w:hAnsi="仿宋" w:eastAsia="仿宋" w:cs="仿宋"/>
                <w:color w:val="000000"/>
                <w:kern w:val="0"/>
                <w:sz w:val="32"/>
                <w:szCs w:val="32"/>
                <w:highlight w:val="none"/>
                <w:u w:val="none"/>
                <w:lang w:val="en-US" w:eastAsia="zh-CN" w:bidi="ar-SA"/>
              </w:rPr>
              <w:t>新建集农资储备、配送服务、技术指导、信息服务于一体的区域性现代农业综合服务中心。完成标准化农资仓储库房，配套建设种子、化肥、农药、农机具等专业化储备区建设。设立农技服务与培训中心，提供测土配方、植保咨询、农业技术推广等服务。项目建成后将显著提升区域农资供应保障能力、稳定农资市场价格、优化农业社会化服务水平，为周边农业规模化、现代化发展提供有力支撑。</w:t>
            </w:r>
          </w:p>
        </w:tc>
      </w:tr>
    </w:tbl>
    <w:p w14:paraId="568B484A">
      <w:pPr>
        <w:pStyle w:val="3"/>
        <w:bidi w:val="0"/>
        <w:rPr>
          <w:rFonts w:hint="default"/>
          <w:lang w:val="en-US" w:eastAsia="zh-CN"/>
        </w:rPr>
      </w:pPr>
      <w:bookmarkStart w:id="35" w:name="_Toc16850"/>
      <w:r>
        <w:rPr>
          <w:rFonts w:hint="eastAsia"/>
          <w:lang w:val="en-US" w:eastAsia="zh-CN"/>
        </w:rPr>
        <w:t>八、加快建成社会化服务“国家队”，提高供销土地“托管率”</w:t>
      </w:r>
      <w:bookmarkEnd w:id="35"/>
    </w:p>
    <w:p w14:paraId="670D1B69">
      <w:pPr>
        <w:pStyle w:val="4"/>
        <w:bidi w:val="0"/>
        <w:ind w:firstLine="880"/>
        <w:rPr>
          <w:rFonts w:hint="eastAsia" w:ascii="Arial" w:hAnsi="Arial"/>
          <w:b w:val="0"/>
          <w:lang w:val="en-US" w:eastAsia="zh-CN"/>
        </w:rPr>
      </w:pPr>
      <w:bookmarkStart w:id="36" w:name="_Toc13587"/>
      <w:r>
        <w:rPr>
          <w:rFonts w:hint="eastAsia" w:ascii="Arial" w:hAnsi="Arial"/>
          <w:b w:val="0"/>
          <w:lang w:val="en-US" w:eastAsia="zh-CN"/>
        </w:rPr>
        <w:t>（一）任务目标</w:t>
      </w:r>
      <w:bookmarkEnd w:id="36"/>
    </w:p>
    <w:p w14:paraId="539E4796">
      <w:pPr>
        <w:pStyle w:val="16"/>
        <w:keepNext w:val="0"/>
        <w:keepLines w:val="0"/>
        <w:pageBreakBefore w:val="0"/>
        <w:widowControl w:val="0"/>
        <w:numPr>
          <w:ilvl w:val="0"/>
          <w:numId w:val="0"/>
        </w:numPr>
        <w:wordWrap/>
        <w:overflowPunct/>
        <w:topLinePunct w:val="0"/>
        <w:autoSpaceDE w:val="0"/>
        <w:autoSpaceDN w:val="0"/>
        <w:bidi w:val="0"/>
        <w:adjustRightInd/>
        <w:snapToGrid/>
        <w:spacing w:line="240" w:lineRule="auto"/>
        <w:ind w:firstLine="640" w:firstLineChars="200"/>
        <w:jc w:val="both"/>
        <w:rPr>
          <w:rFonts w:hint="eastAsia" w:ascii="仿宋" w:hAnsi="仿宋" w:eastAsia="仿宋" w:cs="仿宋"/>
          <w:sz w:val="32"/>
          <w:szCs w:val="32"/>
          <w:highlight w:val="none"/>
          <w:u w:val="none"/>
          <w:lang w:val="en-US" w:eastAsia="zh-CN"/>
        </w:rPr>
      </w:pPr>
      <w:r>
        <w:rPr>
          <w:rFonts w:hint="eastAsia" w:ascii="仿宋" w:hAnsi="仿宋" w:eastAsia="仿宋" w:cs="仿宋"/>
          <w:sz w:val="32"/>
          <w:szCs w:val="32"/>
          <w:highlight w:val="none"/>
          <w:u w:val="none"/>
          <w:lang w:val="en-US" w:eastAsia="zh-CN"/>
        </w:rPr>
        <w:t>聚焦现代农业发展，以服务保障国家粮食安全和重要农产品供给为己任，坚持服务小农户为根本，按照“标准化、规范化、专业化”要求，培育壮大农业社会化服务主体，扩大服务规模，完善联农带农机制，积极参与构建覆盖全程、综合配套、便捷高效的现代农业社会化服务体系。着力解决我市农业生产中土地碎片化、经营分散化、劳动力老龄化等现实问题，有效降低生产成本，提升农业效益，将小农户引入现代农业发展轨道。到2030年，力争在全市构建起体系健全、功能完善、运营高效、带动力强的农业社会化服务网络，为鄂州农业农村现代化提供坚实支撑。</w:t>
      </w:r>
    </w:p>
    <w:p w14:paraId="28DCDAA9">
      <w:pPr>
        <w:pStyle w:val="4"/>
        <w:bidi w:val="0"/>
        <w:ind w:firstLine="880"/>
        <w:rPr>
          <w:rFonts w:hint="eastAsia" w:ascii="Arial" w:hAnsi="Arial"/>
          <w:b w:val="0"/>
          <w:lang w:val="en-US" w:eastAsia="zh-CN"/>
        </w:rPr>
      </w:pPr>
      <w:bookmarkStart w:id="37" w:name="_Toc4886"/>
      <w:r>
        <w:rPr>
          <w:rFonts w:hint="eastAsia" w:ascii="Arial" w:hAnsi="Arial"/>
          <w:b w:val="0"/>
          <w:lang w:val="en-US" w:eastAsia="zh-CN"/>
        </w:rPr>
        <w:t>（二）分年度计划</w:t>
      </w:r>
      <w:bookmarkEnd w:id="37"/>
    </w:p>
    <w:p w14:paraId="1E74F000">
      <w:pPr>
        <w:pStyle w:val="16"/>
        <w:keepNext w:val="0"/>
        <w:keepLines w:val="0"/>
        <w:pageBreakBefore w:val="0"/>
        <w:widowControl w:val="0"/>
        <w:numPr>
          <w:ilvl w:val="0"/>
          <w:numId w:val="0"/>
        </w:numPr>
        <w:wordWrap/>
        <w:overflowPunct/>
        <w:topLinePunct w:val="0"/>
        <w:autoSpaceDE w:val="0"/>
        <w:autoSpaceDN w:val="0"/>
        <w:bidi w:val="0"/>
        <w:adjustRightInd/>
        <w:snapToGrid/>
        <w:spacing w:line="240" w:lineRule="auto"/>
        <w:ind w:firstLine="640" w:firstLineChars="200"/>
        <w:jc w:val="both"/>
        <w:rPr>
          <w:rFonts w:hint="eastAsia" w:ascii="仿宋" w:hAnsi="仿宋" w:eastAsia="仿宋" w:cs="仿宋"/>
          <w:sz w:val="32"/>
          <w:szCs w:val="32"/>
          <w:highlight w:val="none"/>
          <w:u w:val="none"/>
          <w:lang w:val="en-US" w:eastAsia="zh-CN"/>
        </w:rPr>
      </w:pPr>
      <w:r>
        <w:rPr>
          <w:rFonts w:hint="eastAsia" w:ascii="仿宋" w:hAnsi="仿宋" w:eastAsia="仿宋" w:cs="仿宋"/>
          <w:sz w:val="32"/>
          <w:szCs w:val="32"/>
          <w:highlight w:val="none"/>
          <w:u w:val="none"/>
          <w:lang w:val="en-US" w:eastAsia="zh-CN"/>
        </w:rPr>
        <w:t>2026年：制定农业社会化服务标准化规范。启动区域性综合农事服务中心规划建设。对接省级数字化服务平台，启动本地化应用开发。培育1-2家本地骨干农服企业。</w:t>
      </w:r>
    </w:p>
    <w:p w14:paraId="6F156344">
      <w:pPr>
        <w:pStyle w:val="16"/>
        <w:keepNext w:val="0"/>
        <w:keepLines w:val="0"/>
        <w:pageBreakBefore w:val="0"/>
        <w:widowControl w:val="0"/>
        <w:numPr>
          <w:ilvl w:val="0"/>
          <w:numId w:val="0"/>
        </w:numPr>
        <w:wordWrap/>
        <w:overflowPunct/>
        <w:topLinePunct w:val="0"/>
        <w:autoSpaceDE w:val="0"/>
        <w:autoSpaceDN w:val="0"/>
        <w:bidi w:val="0"/>
        <w:adjustRightInd/>
        <w:snapToGrid/>
        <w:spacing w:line="240" w:lineRule="auto"/>
        <w:ind w:firstLine="640" w:firstLineChars="200"/>
        <w:jc w:val="both"/>
        <w:rPr>
          <w:rFonts w:hint="eastAsia" w:ascii="仿宋" w:hAnsi="仿宋" w:eastAsia="仿宋" w:cs="仿宋"/>
          <w:sz w:val="32"/>
          <w:szCs w:val="32"/>
          <w:highlight w:val="none"/>
          <w:u w:val="none"/>
          <w:lang w:val="en-US" w:eastAsia="zh-CN"/>
        </w:rPr>
      </w:pPr>
      <w:r>
        <w:rPr>
          <w:rFonts w:hint="eastAsia" w:ascii="仿宋" w:hAnsi="仿宋" w:eastAsia="仿宋" w:cs="仿宋"/>
          <w:sz w:val="32"/>
          <w:szCs w:val="32"/>
          <w:highlight w:val="none"/>
          <w:u w:val="none"/>
          <w:lang w:val="en-US" w:eastAsia="zh-CN"/>
        </w:rPr>
        <w:t>2027年：建设完成1-2个标准化区域性综合农事服务中心。数字化服务平台初步运行，实现部分服务线上对接。服务环节从耕种防收向产前产后延伸试点。</w:t>
      </w:r>
    </w:p>
    <w:p w14:paraId="6A349A71">
      <w:pPr>
        <w:pStyle w:val="16"/>
        <w:keepNext w:val="0"/>
        <w:keepLines w:val="0"/>
        <w:pageBreakBefore w:val="0"/>
        <w:widowControl w:val="0"/>
        <w:numPr>
          <w:ilvl w:val="0"/>
          <w:numId w:val="0"/>
        </w:numPr>
        <w:wordWrap/>
        <w:overflowPunct/>
        <w:topLinePunct w:val="0"/>
        <w:autoSpaceDE w:val="0"/>
        <w:autoSpaceDN w:val="0"/>
        <w:bidi w:val="0"/>
        <w:adjustRightInd/>
        <w:snapToGrid/>
        <w:spacing w:line="240" w:lineRule="auto"/>
        <w:ind w:firstLine="640" w:firstLineChars="200"/>
        <w:jc w:val="both"/>
        <w:rPr>
          <w:rFonts w:hint="eastAsia" w:ascii="仿宋" w:hAnsi="仿宋" w:eastAsia="仿宋" w:cs="仿宋"/>
          <w:sz w:val="32"/>
          <w:szCs w:val="32"/>
          <w:highlight w:val="none"/>
          <w:u w:val="none"/>
          <w:lang w:val="en-US" w:eastAsia="zh-CN"/>
        </w:rPr>
      </w:pPr>
      <w:r>
        <w:rPr>
          <w:rFonts w:hint="eastAsia" w:ascii="仿宋" w:hAnsi="仿宋" w:eastAsia="仿宋" w:cs="仿宋"/>
          <w:sz w:val="32"/>
          <w:szCs w:val="32"/>
          <w:highlight w:val="none"/>
          <w:u w:val="none"/>
          <w:lang w:val="en-US" w:eastAsia="zh-CN"/>
        </w:rPr>
        <w:t>2028年：农业社会化服务信息子平台基本建成。服务主体数量和能力显著提升，服务模式多元化。在特色产业社会化服务上取得突破。</w:t>
      </w:r>
    </w:p>
    <w:p w14:paraId="4440F3E9">
      <w:pPr>
        <w:pStyle w:val="16"/>
        <w:keepNext w:val="0"/>
        <w:keepLines w:val="0"/>
        <w:pageBreakBefore w:val="0"/>
        <w:widowControl w:val="0"/>
        <w:numPr>
          <w:ilvl w:val="0"/>
          <w:numId w:val="0"/>
        </w:numPr>
        <w:wordWrap/>
        <w:overflowPunct/>
        <w:topLinePunct w:val="0"/>
        <w:autoSpaceDE w:val="0"/>
        <w:autoSpaceDN w:val="0"/>
        <w:bidi w:val="0"/>
        <w:adjustRightInd/>
        <w:snapToGrid/>
        <w:spacing w:line="240" w:lineRule="auto"/>
        <w:ind w:firstLine="640" w:firstLineChars="200"/>
        <w:jc w:val="both"/>
        <w:rPr>
          <w:rFonts w:hint="eastAsia" w:ascii="仿宋" w:hAnsi="仿宋" w:eastAsia="仿宋" w:cs="仿宋"/>
          <w:sz w:val="32"/>
          <w:szCs w:val="32"/>
          <w:highlight w:val="none"/>
          <w:u w:val="none"/>
          <w:lang w:val="en-US" w:eastAsia="zh-CN"/>
        </w:rPr>
      </w:pPr>
      <w:r>
        <w:rPr>
          <w:rFonts w:hint="eastAsia" w:ascii="仿宋" w:hAnsi="仿宋" w:eastAsia="仿宋" w:cs="仿宋"/>
          <w:sz w:val="32"/>
          <w:szCs w:val="32"/>
          <w:highlight w:val="none"/>
          <w:u w:val="none"/>
          <w:lang w:val="en-US" w:eastAsia="zh-CN"/>
        </w:rPr>
        <w:t>2029年：形成覆盖主导产业、贯穿全产业链的社会化服务能力。联农带农利益联结机制更加紧密。服务规模持续扩大，小农户衔接度显著提高。</w:t>
      </w:r>
    </w:p>
    <w:p w14:paraId="58146C43">
      <w:pPr>
        <w:pStyle w:val="16"/>
        <w:keepNext w:val="0"/>
        <w:keepLines w:val="0"/>
        <w:pageBreakBefore w:val="0"/>
        <w:widowControl w:val="0"/>
        <w:numPr>
          <w:ilvl w:val="0"/>
          <w:numId w:val="0"/>
        </w:numPr>
        <w:wordWrap/>
        <w:overflowPunct/>
        <w:topLinePunct w:val="0"/>
        <w:autoSpaceDE w:val="0"/>
        <w:autoSpaceDN w:val="0"/>
        <w:bidi w:val="0"/>
        <w:adjustRightInd/>
        <w:snapToGrid/>
        <w:spacing w:line="240" w:lineRule="auto"/>
        <w:ind w:firstLine="640" w:firstLineChars="200"/>
        <w:jc w:val="both"/>
        <w:rPr>
          <w:rFonts w:hint="eastAsia" w:ascii="仿宋" w:hAnsi="仿宋" w:eastAsia="仿宋" w:cs="仿宋"/>
          <w:sz w:val="32"/>
          <w:szCs w:val="32"/>
          <w:highlight w:val="none"/>
          <w:u w:val="none"/>
          <w:lang w:val="en-US" w:eastAsia="zh-CN"/>
        </w:rPr>
      </w:pPr>
      <w:r>
        <w:rPr>
          <w:rFonts w:hint="eastAsia" w:ascii="仿宋" w:hAnsi="仿宋" w:eastAsia="仿宋" w:cs="仿宋"/>
          <w:sz w:val="32"/>
          <w:szCs w:val="32"/>
          <w:highlight w:val="none"/>
          <w:u w:val="none"/>
          <w:lang w:val="en-US" w:eastAsia="zh-CN"/>
        </w:rPr>
        <w:t>2030年：全面建成现代化农业社会化服务体系，供销系统“国家队”作用充分彰显，成为小农户融入现代农业的主要桥梁。</w:t>
      </w:r>
    </w:p>
    <w:p w14:paraId="0F40F141">
      <w:pPr>
        <w:pStyle w:val="4"/>
        <w:bidi w:val="0"/>
        <w:ind w:firstLine="880"/>
        <w:rPr>
          <w:rFonts w:hint="default" w:ascii="Arial" w:hAnsi="Arial"/>
          <w:b w:val="0"/>
          <w:lang w:val="en-US" w:eastAsia="zh-CN"/>
        </w:rPr>
      </w:pPr>
      <w:bookmarkStart w:id="38" w:name="_Toc12389"/>
      <w:r>
        <w:rPr>
          <w:rFonts w:hint="eastAsia" w:ascii="Arial" w:hAnsi="Arial"/>
          <w:b w:val="0"/>
          <w:lang w:val="en-US" w:eastAsia="zh-CN"/>
        </w:rPr>
        <w:t>（三）具体措施</w:t>
      </w:r>
      <w:bookmarkEnd w:id="38"/>
    </w:p>
    <w:p w14:paraId="34A4BD0F">
      <w:pPr>
        <w:pStyle w:val="16"/>
        <w:keepNext w:val="0"/>
        <w:keepLines w:val="0"/>
        <w:pageBreakBefore w:val="0"/>
        <w:wordWrap/>
        <w:overflowPunct/>
        <w:topLinePunct w:val="0"/>
        <w:bidi w:val="0"/>
        <w:adjustRightInd/>
        <w:snapToGrid/>
        <w:spacing w:line="240" w:lineRule="auto"/>
        <w:ind w:firstLine="643" w:firstLineChars="200"/>
        <w:jc w:val="both"/>
        <w:rPr>
          <w:rFonts w:hint="eastAsia" w:ascii="仿宋" w:hAnsi="仿宋" w:eastAsia="仿宋" w:cs="仿宋"/>
          <w:b/>
          <w:bCs/>
          <w:sz w:val="32"/>
          <w:szCs w:val="32"/>
          <w:highlight w:val="none"/>
          <w:u w:val="none"/>
          <w:lang w:val="en-US" w:eastAsia="zh-CN"/>
        </w:rPr>
      </w:pPr>
      <w:r>
        <w:rPr>
          <w:rFonts w:hint="eastAsia" w:ascii="仿宋" w:hAnsi="仿宋" w:eastAsia="仿宋" w:cs="仿宋"/>
          <w:b/>
          <w:bCs/>
          <w:sz w:val="32"/>
          <w:szCs w:val="32"/>
          <w:highlight w:val="none"/>
          <w:u w:val="none"/>
          <w:lang w:val="en-US" w:eastAsia="zh-CN"/>
        </w:rPr>
        <w:t>1.加快区域性服务平台建设与数字化升级</w:t>
      </w:r>
    </w:p>
    <w:p w14:paraId="4E042BE4">
      <w:pPr>
        <w:pStyle w:val="16"/>
        <w:keepNext w:val="0"/>
        <w:keepLines w:val="0"/>
        <w:pageBreakBefore w:val="0"/>
        <w:widowControl w:val="0"/>
        <w:numPr>
          <w:ilvl w:val="0"/>
          <w:numId w:val="0"/>
        </w:numPr>
        <w:wordWrap/>
        <w:overflowPunct/>
        <w:topLinePunct w:val="0"/>
        <w:autoSpaceDE w:val="0"/>
        <w:autoSpaceDN w:val="0"/>
        <w:bidi w:val="0"/>
        <w:adjustRightInd/>
        <w:snapToGrid/>
        <w:spacing w:line="240" w:lineRule="auto"/>
        <w:ind w:firstLine="640" w:firstLineChars="200"/>
        <w:jc w:val="both"/>
        <w:rPr>
          <w:rFonts w:hint="eastAsia" w:ascii="仿宋" w:hAnsi="仿宋" w:eastAsia="仿宋" w:cs="仿宋"/>
          <w:sz w:val="32"/>
          <w:szCs w:val="32"/>
          <w:highlight w:val="none"/>
          <w:u w:val="none"/>
          <w:lang w:val="en-US" w:eastAsia="zh-CN"/>
        </w:rPr>
      </w:pPr>
      <w:r>
        <w:rPr>
          <w:rFonts w:hint="eastAsia" w:ascii="仿宋" w:hAnsi="仿宋" w:eastAsia="仿宋" w:cs="仿宋"/>
          <w:sz w:val="32"/>
          <w:szCs w:val="32"/>
          <w:highlight w:val="none"/>
          <w:u w:val="none"/>
          <w:lang w:val="en-US" w:eastAsia="zh-CN"/>
        </w:rPr>
        <w:t>主动对接并融入省级“粮油链”等数字化服务平台，推动服务资源在市域范围内的高效配置与供需精准对接。依托武汉新城临空农产品交易市场等项目的信息化基础设施，探索建设区域性农业社会化服务信息子平台。重点围绕水稻、水产、蔬菜等本地主导产业，开发或应用适用于本地生产场景的数字化管理工具，为小农户和新型经营主体提供农事指导、遥感监测、市场信息、灾害预警等线上服务。鼓励服务主体运用智能装备与数据平台，开展精准作业，积累农业生产数据，逐步探索服务数据的价值应用，以数字化赋能服务升级。</w:t>
      </w:r>
    </w:p>
    <w:p w14:paraId="5E8D87DD">
      <w:pPr>
        <w:pStyle w:val="16"/>
        <w:keepNext w:val="0"/>
        <w:keepLines w:val="0"/>
        <w:pageBreakBefore w:val="0"/>
        <w:wordWrap/>
        <w:overflowPunct/>
        <w:topLinePunct w:val="0"/>
        <w:bidi w:val="0"/>
        <w:adjustRightInd/>
        <w:snapToGrid/>
        <w:spacing w:line="240" w:lineRule="auto"/>
        <w:ind w:firstLine="643" w:firstLineChars="200"/>
        <w:jc w:val="both"/>
        <w:rPr>
          <w:rFonts w:hint="eastAsia" w:ascii="仿宋" w:hAnsi="仿宋" w:eastAsia="仿宋" w:cs="仿宋"/>
          <w:b/>
          <w:bCs/>
          <w:sz w:val="32"/>
          <w:szCs w:val="32"/>
          <w:highlight w:val="none"/>
          <w:u w:val="none"/>
          <w:lang w:val="en-US" w:eastAsia="zh-CN"/>
        </w:rPr>
      </w:pPr>
      <w:r>
        <w:rPr>
          <w:rFonts w:hint="eastAsia" w:ascii="仿宋" w:hAnsi="仿宋" w:eastAsia="仿宋" w:cs="仿宋"/>
          <w:b/>
          <w:bCs/>
          <w:sz w:val="32"/>
          <w:szCs w:val="32"/>
          <w:highlight w:val="none"/>
          <w:u w:val="none"/>
          <w:lang w:val="en-US" w:eastAsia="zh-CN"/>
        </w:rPr>
        <w:t>2.培育壮大本土化服务主体与网络</w:t>
      </w:r>
    </w:p>
    <w:p w14:paraId="341EE43D">
      <w:pPr>
        <w:pStyle w:val="16"/>
        <w:keepNext w:val="0"/>
        <w:keepLines w:val="0"/>
        <w:pageBreakBefore w:val="0"/>
        <w:widowControl w:val="0"/>
        <w:numPr>
          <w:ilvl w:val="0"/>
          <w:numId w:val="0"/>
        </w:numPr>
        <w:wordWrap/>
        <w:overflowPunct/>
        <w:topLinePunct w:val="0"/>
        <w:autoSpaceDE w:val="0"/>
        <w:autoSpaceDN w:val="0"/>
        <w:bidi w:val="0"/>
        <w:adjustRightInd/>
        <w:snapToGrid/>
        <w:spacing w:line="240" w:lineRule="auto"/>
        <w:ind w:firstLine="640" w:firstLineChars="200"/>
        <w:jc w:val="both"/>
        <w:rPr>
          <w:rFonts w:hint="eastAsia" w:ascii="仿宋" w:hAnsi="仿宋" w:eastAsia="仿宋" w:cs="仿宋"/>
          <w:sz w:val="32"/>
          <w:szCs w:val="32"/>
          <w:highlight w:val="none"/>
          <w:u w:val="none"/>
          <w:lang w:val="en-US" w:eastAsia="zh-CN"/>
        </w:rPr>
      </w:pPr>
      <w:r>
        <w:rPr>
          <w:rFonts w:hint="eastAsia" w:ascii="仿宋" w:hAnsi="仿宋" w:eastAsia="仿宋" w:cs="仿宋"/>
          <w:sz w:val="32"/>
          <w:szCs w:val="32"/>
          <w:highlight w:val="none"/>
          <w:u w:val="none"/>
          <w:lang w:val="en-US" w:eastAsia="zh-CN"/>
        </w:rPr>
        <w:t>支持市、区级供销社企业、基层社通过改造提升、联合合作等方式，转型发展为专业的农业社会化服务组织。积极对接省级农服龙头企业，争取其区域服务中心或示范项目落地鄂州。采取股权合作、开放办社等形式，培育或引进若干家服务能力强、管理规范的本地骨干农服企业。重点升级改造一批乡镇基层社和村级综合服务社，使其成为承接农业社会化服务的基层站点。领办创办一批服务导向鲜明的农民专业合作社联合社。到2030年，力争培育市级示范性农业社会化服务主体5-8家，建设标准化区域性综合农事服务中心3-5个，改造提升具备较强服务功能的基层社8个以上。</w:t>
      </w:r>
    </w:p>
    <w:p w14:paraId="373213B5">
      <w:pPr>
        <w:pStyle w:val="16"/>
        <w:keepNext w:val="0"/>
        <w:keepLines w:val="0"/>
        <w:pageBreakBefore w:val="0"/>
        <w:wordWrap/>
        <w:overflowPunct/>
        <w:topLinePunct w:val="0"/>
        <w:bidi w:val="0"/>
        <w:adjustRightInd/>
        <w:snapToGrid/>
        <w:spacing w:line="240" w:lineRule="auto"/>
        <w:ind w:firstLine="643" w:firstLineChars="200"/>
        <w:jc w:val="both"/>
        <w:rPr>
          <w:rFonts w:hint="eastAsia" w:ascii="仿宋" w:hAnsi="仿宋" w:eastAsia="仿宋" w:cs="仿宋"/>
          <w:b/>
          <w:bCs/>
          <w:sz w:val="32"/>
          <w:szCs w:val="32"/>
          <w:highlight w:val="none"/>
          <w:u w:val="none"/>
          <w:lang w:val="en-US" w:eastAsia="zh-CN"/>
        </w:rPr>
      </w:pPr>
      <w:r>
        <w:rPr>
          <w:rFonts w:hint="eastAsia" w:ascii="仿宋" w:hAnsi="仿宋" w:eastAsia="仿宋" w:cs="仿宋"/>
          <w:b/>
          <w:bCs/>
          <w:sz w:val="32"/>
          <w:szCs w:val="32"/>
          <w:highlight w:val="none"/>
          <w:u w:val="none"/>
          <w:lang w:val="en-US" w:eastAsia="zh-CN"/>
        </w:rPr>
        <w:t>3.拓展全产业链与多元化服务功能</w:t>
      </w:r>
    </w:p>
    <w:p w14:paraId="2E17BA5D">
      <w:pPr>
        <w:pStyle w:val="16"/>
        <w:keepNext w:val="0"/>
        <w:keepLines w:val="0"/>
        <w:pageBreakBefore w:val="0"/>
        <w:widowControl w:val="0"/>
        <w:numPr>
          <w:ilvl w:val="0"/>
          <w:numId w:val="0"/>
        </w:numPr>
        <w:wordWrap/>
        <w:overflowPunct/>
        <w:topLinePunct w:val="0"/>
        <w:autoSpaceDE w:val="0"/>
        <w:autoSpaceDN w:val="0"/>
        <w:bidi w:val="0"/>
        <w:adjustRightInd/>
        <w:snapToGrid/>
        <w:spacing w:line="240" w:lineRule="auto"/>
        <w:ind w:firstLine="640" w:firstLineChars="200"/>
        <w:jc w:val="both"/>
        <w:rPr>
          <w:rFonts w:hint="eastAsia" w:ascii="仿宋" w:hAnsi="仿宋" w:eastAsia="仿宋" w:cs="仿宋"/>
          <w:sz w:val="32"/>
          <w:szCs w:val="32"/>
          <w:highlight w:val="none"/>
          <w:u w:val="none"/>
          <w:lang w:val="en-US" w:eastAsia="zh-CN"/>
        </w:rPr>
      </w:pPr>
      <w:r>
        <w:rPr>
          <w:rFonts w:hint="eastAsia" w:ascii="仿宋" w:hAnsi="仿宋" w:eastAsia="仿宋" w:cs="仿宋"/>
          <w:sz w:val="32"/>
          <w:szCs w:val="32"/>
          <w:highlight w:val="none"/>
          <w:u w:val="none"/>
          <w:lang w:val="en-US" w:eastAsia="zh-CN"/>
        </w:rPr>
        <w:t>围绕农业生产全过程和农民多元需求，推动服务环节从耕种防收向产前、产中、产后全过程延伸。在巩固粮食作物托管服务基础上，重点向武昌鱼养殖、特色果蔬、花卉苗木等优势特色产业拓展专业化服务。向前端延伸，提供优质种苗、配方肥料、农机租赁等服务；向中端深化，推广智能灌溉、绿色防控、无人机植保等高效技术；向后端拓展，衔接中国供销鄂州智慧冷链产业园等项目的仓储保鲜、冷链物流、初加工和品牌营销服务。积极探索开展畜牧、水产养殖业的社会化服务试点。加强与金融、保险机构合作，探索开发适合本地农业生产的信贷、保险产品，为服务对象提供金融支持与风险保障。</w:t>
      </w:r>
    </w:p>
    <w:p w14:paraId="551DD032">
      <w:pPr>
        <w:pStyle w:val="16"/>
        <w:keepNext w:val="0"/>
        <w:keepLines w:val="0"/>
        <w:pageBreakBefore w:val="0"/>
        <w:wordWrap/>
        <w:overflowPunct/>
        <w:topLinePunct w:val="0"/>
        <w:bidi w:val="0"/>
        <w:adjustRightInd/>
        <w:snapToGrid/>
        <w:spacing w:line="240" w:lineRule="auto"/>
        <w:ind w:firstLine="643" w:firstLineChars="200"/>
        <w:jc w:val="both"/>
        <w:rPr>
          <w:rFonts w:hint="eastAsia" w:ascii="仿宋" w:hAnsi="仿宋" w:eastAsia="仿宋" w:cs="仿宋"/>
          <w:b/>
          <w:bCs/>
          <w:sz w:val="32"/>
          <w:szCs w:val="32"/>
          <w:highlight w:val="none"/>
          <w:u w:val="none"/>
          <w:lang w:val="en-US" w:eastAsia="zh-CN"/>
        </w:rPr>
      </w:pPr>
      <w:r>
        <w:rPr>
          <w:rFonts w:hint="eastAsia" w:ascii="仿宋" w:hAnsi="仿宋" w:eastAsia="仿宋" w:cs="仿宋"/>
          <w:b/>
          <w:bCs/>
          <w:sz w:val="32"/>
          <w:szCs w:val="32"/>
          <w:highlight w:val="none"/>
          <w:u w:val="none"/>
          <w:lang w:val="en-US" w:eastAsia="zh-CN"/>
        </w:rPr>
        <w:t>4.创新服务模式与扩大有效覆盖</w:t>
      </w:r>
    </w:p>
    <w:p w14:paraId="59EC058B">
      <w:pPr>
        <w:pStyle w:val="16"/>
        <w:keepNext w:val="0"/>
        <w:keepLines w:val="0"/>
        <w:pageBreakBefore w:val="0"/>
        <w:widowControl w:val="0"/>
        <w:numPr>
          <w:ilvl w:val="0"/>
          <w:numId w:val="0"/>
        </w:numPr>
        <w:wordWrap/>
        <w:overflowPunct/>
        <w:topLinePunct w:val="0"/>
        <w:autoSpaceDE w:val="0"/>
        <w:autoSpaceDN w:val="0"/>
        <w:bidi w:val="0"/>
        <w:adjustRightInd/>
        <w:snapToGrid/>
        <w:spacing w:line="240" w:lineRule="auto"/>
        <w:ind w:firstLine="640" w:firstLineChars="200"/>
        <w:jc w:val="both"/>
        <w:rPr>
          <w:rFonts w:hint="eastAsia" w:ascii="仿宋" w:hAnsi="仿宋" w:eastAsia="仿宋" w:cs="仿宋"/>
          <w:sz w:val="32"/>
          <w:szCs w:val="32"/>
          <w:highlight w:val="none"/>
          <w:u w:val="none"/>
          <w:lang w:val="en-US" w:eastAsia="zh-CN"/>
        </w:rPr>
      </w:pPr>
      <w:r>
        <w:rPr>
          <w:rFonts w:hint="eastAsia" w:ascii="仿宋" w:hAnsi="仿宋" w:eastAsia="仿宋" w:cs="仿宋"/>
          <w:sz w:val="32"/>
          <w:szCs w:val="32"/>
          <w:highlight w:val="none"/>
          <w:u w:val="none"/>
          <w:lang w:val="en-US" w:eastAsia="zh-CN"/>
        </w:rPr>
        <w:t>大力推广以农业生产托管为主的多种形式适度规模经营服务模式。复制推广“县级运营平台+村级集单”的有效做法，充分发挥村级组织“统”的功能和供销社“服”的优势，因地制宜推进单环节、多环节、全程生产托管服务。鼓励发展“保姆式”全托管和“菜单式”点单服务，满足农户差异化需求。以重点产粮乡镇和特色农业集中区为突破口，实施“整村推进、连片服务”，逐步扩大服务覆盖面。积极参与承接中央和省级财政支持的农业社会化服务项目。到2030年，力争全市供销系统农业社会化服务面积占适宜托管面积的比重显著提升，服务环节不断拓宽，年服务规模达到百万亩次以上。</w:t>
      </w:r>
    </w:p>
    <w:p w14:paraId="46DD818C">
      <w:pPr>
        <w:pStyle w:val="16"/>
        <w:keepNext w:val="0"/>
        <w:keepLines w:val="0"/>
        <w:pageBreakBefore w:val="0"/>
        <w:wordWrap/>
        <w:overflowPunct/>
        <w:topLinePunct w:val="0"/>
        <w:bidi w:val="0"/>
        <w:adjustRightInd/>
        <w:snapToGrid/>
        <w:spacing w:line="240" w:lineRule="auto"/>
        <w:ind w:firstLine="643" w:firstLineChars="200"/>
        <w:jc w:val="both"/>
        <w:rPr>
          <w:rFonts w:hint="eastAsia" w:ascii="仿宋" w:hAnsi="仿宋" w:eastAsia="仿宋" w:cs="仿宋"/>
          <w:b/>
          <w:bCs/>
          <w:sz w:val="32"/>
          <w:szCs w:val="32"/>
          <w:highlight w:val="none"/>
          <w:u w:val="none"/>
          <w:lang w:val="en-US" w:eastAsia="zh-CN"/>
        </w:rPr>
      </w:pPr>
      <w:r>
        <w:rPr>
          <w:rFonts w:hint="eastAsia" w:ascii="仿宋" w:hAnsi="仿宋" w:eastAsia="仿宋" w:cs="仿宋"/>
          <w:b/>
          <w:bCs/>
          <w:sz w:val="32"/>
          <w:szCs w:val="32"/>
          <w:highlight w:val="none"/>
          <w:u w:val="none"/>
          <w:lang w:val="en-US" w:eastAsia="zh-CN"/>
        </w:rPr>
        <w:t>5.健全紧密型联农带农利益联结机制</w:t>
      </w:r>
    </w:p>
    <w:p w14:paraId="55B6C805">
      <w:pPr>
        <w:pStyle w:val="16"/>
        <w:keepNext w:val="0"/>
        <w:keepLines w:val="0"/>
        <w:pageBreakBefore w:val="0"/>
        <w:widowControl w:val="0"/>
        <w:numPr>
          <w:ilvl w:val="0"/>
          <w:numId w:val="0"/>
        </w:numPr>
        <w:wordWrap/>
        <w:overflowPunct/>
        <w:topLinePunct w:val="0"/>
        <w:autoSpaceDE w:val="0"/>
        <w:autoSpaceDN w:val="0"/>
        <w:bidi w:val="0"/>
        <w:adjustRightInd/>
        <w:snapToGrid/>
        <w:spacing w:line="240" w:lineRule="auto"/>
        <w:ind w:firstLine="640" w:firstLineChars="200"/>
        <w:jc w:val="both"/>
        <w:rPr>
          <w:rFonts w:hint="eastAsia" w:ascii="仿宋" w:hAnsi="仿宋" w:eastAsia="仿宋" w:cs="仿宋"/>
          <w:sz w:val="32"/>
          <w:szCs w:val="32"/>
          <w:highlight w:val="none"/>
          <w:u w:val="none"/>
          <w:lang w:val="en-US" w:eastAsia="zh-CN"/>
        </w:rPr>
      </w:pPr>
      <w:r>
        <w:rPr>
          <w:rFonts w:hint="eastAsia" w:ascii="仿宋" w:hAnsi="仿宋" w:eastAsia="仿宋" w:cs="仿宋"/>
          <w:sz w:val="32"/>
          <w:szCs w:val="32"/>
          <w:highlight w:val="none"/>
          <w:u w:val="none"/>
          <w:lang w:val="en-US" w:eastAsia="zh-CN"/>
        </w:rPr>
        <w:t>始终坚持为农服务宗旨，将服务小农户、带动农民增收作为出发点和落脚点。通过土地托管、股份合作、订单农业等方式，与农户形成风险共担、利益共享的共同体。大力推广“保底收益+盈余分红”等分配机制，让农民实实在在分享产业链增值收益。发挥供销社流通网络优势，通过农资集采直供、农产品集采集配，帮助农民降低生产成本、提高销售价格。探索“村社共建”模式，与村集体经济组织深度合作，发展服务型集体经济，实现农民增收、村集体增益、供销社发展的多赢局面。</w:t>
      </w:r>
    </w:p>
    <w:p w14:paraId="0BF07C23">
      <w:pPr>
        <w:pStyle w:val="3"/>
        <w:bidi w:val="0"/>
        <w:rPr>
          <w:rFonts w:hint="default"/>
          <w:lang w:val="en-US" w:eastAsia="zh-CN"/>
        </w:rPr>
      </w:pPr>
      <w:bookmarkStart w:id="39" w:name="_Toc22112"/>
      <w:r>
        <w:rPr>
          <w:rFonts w:hint="eastAsia"/>
          <w:lang w:val="en-US" w:eastAsia="zh-CN"/>
        </w:rPr>
        <w:t>九、加快建成城乡流通“大平台”，提升供销农产品“上行率”</w:t>
      </w:r>
      <w:bookmarkEnd w:id="39"/>
    </w:p>
    <w:p w14:paraId="219E56C1">
      <w:pPr>
        <w:pStyle w:val="4"/>
        <w:bidi w:val="0"/>
        <w:ind w:firstLine="880"/>
        <w:rPr>
          <w:rFonts w:hint="eastAsia" w:ascii="Arial" w:hAnsi="Arial"/>
          <w:b w:val="0"/>
          <w:lang w:val="en-US" w:eastAsia="zh-CN"/>
        </w:rPr>
      </w:pPr>
      <w:bookmarkStart w:id="40" w:name="_Toc16106"/>
      <w:r>
        <w:rPr>
          <w:rFonts w:hint="eastAsia" w:ascii="Arial" w:hAnsi="Arial"/>
          <w:b w:val="0"/>
          <w:lang w:val="en-US" w:eastAsia="zh-CN"/>
        </w:rPr>
        <w:t>（一）任务目标</w:t>
      </w:r>
      <w:bookmarkEnd w:id="40"/>
    </w:p>
    <w:p w14:paraId="404A31B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firstLine="640" w:firstLineChars="200"/>
        <w:jc w:val="both"/>
        <w:textAlignment w:val="auto"/>
        <w:rPr>
          <w:rFonts w:hint="eastAsia" w:ascii="仿宋" w:hAnsi="仿宋" w:eastAsia="仿宋" w:cs="仿宋"/>
          <w:b w:val="0"/>
          <w:bCs w:val="0"/>
          <w:sz w:val="32"/>
          <w:szCs w:val="32"/>
          <w:highlight w:val="none"/>
          <w:u w:val="none"/>
          <w:lang w:val="en-US" w:eastAsia="zh-CN"/>
        </w:rPr>
      </w:pPr>
      <w:r>
        <w:rPr>
          <w:rFonts w:hint="eastAsia" w:ascii="仿宋" w:hAnsi="仿宋" w:eastAsia="仿宋" w:cs="仿宋"/>
          <w:b w:val="0"/>
          <w:bCs w:val="0"/>
          <w:sz w:val="32"/>
          <w:szCs w:val="32"/>
          <w:highlight w:val="none"/>
          <w:u w:val="none"/>
        </w:rPr>
        <w:t>充分发挥花湖国际机场的全球物流枢纽优势和供销合作社“贯通城乡、双向流通”的组织网络优势</w:t>
      </w:r>
      <w:r>
        <w:rPr>
          <w:rFonts w:hint="eastAsia" w:ascii="仿宋" w:hAnsi="仿宋" w:eastAsia="仿宋" w:cs="仿宋"/>
          <w:b w:val="0"/>
          <w:bCs w:val="0"/>
          <w:sz w:val="32"/>
          <w:szCs w:val="32"/>
          <w:highlight w:val="none"/>
          <w:u w:val="none"/>
          <w:lang w:eastAsia="zh-CN"/>
        </w:rPr>
        <w:t>，</w:t>
      </w:r>
      <w:r>
        <w:rPr>
          <w:rFonts w:hint="eastAsia" w:ascii="仿宋" w:hAnsi="仿宋" w:eastAsia="仿宋" w:cs="仿宋"/>
          <w:b w:val="0"/>
          <w:bCs w:val="0"/>
          <w:sz w:val="32"/>
          <w:szCs w:val="32"/>
          <w:highlight w:val="none"/>
          <w:u w:val="none"/>
          <w:lang w:val="en-US" w:eastAsia="zh-CN"/>
        </w:rPr>
        <w:t>整合社有企业、基层社、农民专业合作社等力量，推进日用品链，构建完善农产品垂直供应链体系。围绕日用品供应链建设，大力开展日用品集采集配业务。加大农村寄递物流网点与日用品集采集配业务深度融合。</w:t>
      </w:r>
    </w:p>
    <w:p w14:paraId="47E2DF4D">
      <w:pPr>
        <w:pStyle w:val="4"/>
        <w:bidi w:val="0"/>
        <w:ind w:firstLine="880"/>
        <w:rPr>
          <w:rFonts w:hint="eastAsia" w:ascii="Arial" w:hAnsi="Arial"/>
          <w:b w:val="0"/>
          <w:lang w:val="en-US" w:eastAsia="zh-CN"/>
        </w:rPr>
      </w:pPr>
      <w:bookmarkStart w:id="41" w:name="_Toc14670"/>
      <w:r>
        <w:rPr>
          <w:rFonts w:hint="eastAsia" w:ascii="Arial" w:hAnsi="Arial"/>
          <w:b w:val="0"/>
          <w:lang w:val="en-US" w:eastAsia="zh-CN"/>
        </w:rPr>
        <w:t>（二）分年度计划</w:t>
      </w:r>
      <w:bookmarkEnd w:id="41"/>
    </w:p>
    <w:p w14:paraId="40E6689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firstLine="640" w:firstLineChars="200"/>
        <w:jc w:val="both"/>
        <w:textAlignment w:val="auto"/>
        <w:rPr>
          <w:rFonts w:hint="eastAsia" w:ascii="仿宋" w:hAnsi="仿宋" w:eastAsia="仿宋" w:cs="仿宋"/>
          <w:b w:val="0"/>
          <w:bCs w:val="0"/>
          <w:color w:val="auto"/>
          <w:sz w:val="32"/>
          <w:szCs w:val="32"/>
          <w:highlight w:val="none"/>
          <w:u w:val="none"/>
          <w:lang w:val="en-US" w:eastAsia="zh-CN"/>
        </w:rPr>
      </w:pPr>
      <w:r>
        <w:rPr>
          <w:rFonts w:hint="eastAsia" w:ascii="仿宋" w:hAnsi="仿宋" w:eastAsia="仿宋" w:cs="仿宋"/>
          <w:b w:val="0"/>
          <w:bCs w:val="0"/>
          <w:color w:val="auto"/>
          <w:sz w:val="32"/>
          <w:szCs w:val="32"/>
          <w:highlight w:val="none"/>
          <w:u w:val="none"/>
          <w:lang w:val="en-US" w:eastAsia="zh-CN"/>
        </w:rPr>
        <w:t>2026年：完成城乡流通网络现状诊断与升级规划。启动临空经济区日用品集采集配中心前期工作。升级改造2-3个乡镇综合服务中心。推广“超市+”模式试点。</w:t>
      </w:r>
    </w:p>
    <w:p w14:paraId="12909A4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firstLine="640" w:firstLineChars="200"/>
        <w:jc w:val="both"/>
        <w:textAlignment w:val="auto"/>
        <w:rPr>
          <w:rFonts w:hint="eastAsia" w:ascii="仿宋" w:hAnsi="仿宋" w:eastAsia="仿宋" w:cs="仿宋"/>
          <w:b w:val="0"/>
          <w:bCs w:val="0"/>
          <w:color w:val="auto"/>
          <w:sz w:val="32"/>
          <w:szCs w:val="32"/>
          <w:highlight w:val="none"/>
          <w:u w:val="none"/>
          <w:lang w:val="en-US" w:eastAsia="zh-CN"/>
        </w:rPr>
      </w:pPr>
      <w:r>
        <w:rPr>
          <w:rFonts w:hint="eastAsia" w:ascii="仿宋" w:hAnsi="仿宋" w:eastAsia="仿宋" w:cs="仿宋"/>
          <w:b w:val="0"/>
          <w:bCs w:val="0"/>
          <w:color w:val="auto"/>
          <w:sz w:val="32"/>
          <w:szCs w:val="32"/>
          <w:highlight w:val="none"/>
          <w:u w:val="none"/>
          <w:lang w:val="en-US" w:eastAsia="zh-CN"/>
        </w:rPr>
        <w:t>2027年：建成临空经济区日用品集采集配中心并投入运营。完成一批乡镇基层社多功能综合体改造。村级综合服务社升级改造覆盖面达到40%。鄂州供销集采集配中心启动建设。</w:t>
      </w:r>
    </w:p>
    <w:p w14:paraId="16C968B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firstLine="640" w:firstLineChars="200"/>
        <w:jc w:val="both"/>
        <w:textAlignment w:val="auto"/>
        <w:rPr>
          <w:rFonts w:hint="eastAsia" w:ascii="仿宋" w:hAnsi="仿宋" w:eastAsia="仿宋" w:cs="仿宋"/>
          <w:b w:val="0"/>
          <w:bCs w:val="0"/>
          <w:color w:val="auto"/>
          <w:sz w:val="32"/>
          <w:szCs w:val="32"/>
          <w:highlight w:val="none"/>
          <w:u w:val="none"/>
          <w:lang w:val="en-US" w:eastAsia="zh-CN"/>
        </w:rPr>
      </w:pPr>
      <w:r>
        <w:rPr>
          <w:rFonts w:hint="eastAsia" w:ascii="仿宋" w:hAnsi="仿宋" w:eastAsia="仿宋" w:cs="仿宋"/>
          <w:b w:val="0"/>
          <w:bCs w:val="0"/>
          <w:color w:val="auto"/>
          <w:sz w:val="32"/>
          <w:szCs w:val="32"/>
          <w:highlight w:val="none"/>
          <w:u w:val="none"/>
          <w:lang w:val="en-US" w:eastAsia="zh-CN"/>
        </w:rPr>
        <w:t>2028年：</w:t>
      </w:r>
      <w:r>
        <w:rPr>
          <w:rFonts w:hint="eastAsia" w:ascii="仿宋" w:hAnsi="仿宋" w:eastAsia="仿宋" w:cs="仿宋"/>
          <w:color w:val="auto"/>
          <w:sz w:val="32"/>
          <w:szCs w:val="32"/>
          <w:highlight w:val="none"/>
          <w:u w:val="none"/>
          <w:lang w:val="en-US" w:eastAsia="zh-CN"/>
        </w:rPr>
        <w:t>升级改造1个乡镇综合服务中心，</w:t>
      </w:r>
      <w:r>
        <w:rPr>
          <w:rFonts w:hint="eastAsia" w:ascii="仿宋" w:hAnsi="仿宋" w:eastAsia="仿宋" w:cs="仿宋"/>
          <w:b w:val="0"/>
          <w:bCs w:val="0"/>
          <w:color w:val="auto"/>
          <w:sz w:val="32"/>
          <w:szCs w:val="32"/>
          <w:highlight w:val="none"/>
          <w:u w:val="none"/>
          <w:lang w:val="en-US" w:eastAsia="zh-CN"/>
        </w:rPr>
        <w:t>乡镇商贸综合体服务功能完善，成为区域消费中心。</w:t>
      </w:r>
    </w:p>
    <w:p w14:paraId="2946108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firstLine="640" w:firstLineChars="200"/>
        <w:jc w:val="both"/>
        <w:textAlignment w:val="auto"/>
        <w:rPr>
          <w:rFonts w:hint="eastAsia" w:ascii="仿宋" w:hAnsi="仿宋" w:eastAsia="仿宋" w:cs="仿宋"/>
          <w:b w:val="0"/>
          <w:bCs w:val="0"/>
          <w:color w:val="auto"/>
          <w:sz w:val="32"/>
          <w:szCs w:val="32"/>
          <w:highlight w:val="none"/>
          <w:u w:val="none"/>
          <w:lang w:val="en-US" w:eastAsia="zh-CN"/>
        </w:rPr>
      </w:pPr>
      <w:r>
        <w:rPr>
          <w:rFonts w:hint="eastAsia" w:ascii="仿宋" w:hAnsi="仿宋" w:eastAsia="仿宋" w:cs="仿宋"/>
          <w:b w:val="0"/>
          <w:bCs w:val="0"/>
          <w:color w:val="auto"/>
          <w:sz w:val="32"/>
          <w:szCs w:val="32"/>
          <w:highlight w:val="none"/>
          <w:u w:val="none"/>
          <w:lang w:val="en-US" w:eastAsia="zh-CN"/>
        </w:rPr>
        <w:t>2029年：</w:t>
      </w:r>
      <w:r>
        <w:rPr>
          <w:rFonts w:hint="eastAsia" w:ascii="仿宋" w:hAnsi="仿宋" w:eastAsia="仿宋" w:cs="仿宋"/>
          <w:color w:val="auto"/>
          <w:sz w:val="32"/>
          <w:szCs w:val="32"/>
          <w:highlight w:val="none"/>
          <w:u w:val="none"/>
          <w:lang w:eastAsia="zh-CN"/>
        </w:rPr>
        <w:t>升级改造区级供销集采集配中心</w:t>
      </w:r>
      <w:r>
        <w:rPr>
          <w:rFonts w:hint="eastAsia" w:ascii="仿宋" w:hAnsi="仿宋" w:eastAsia="仿宋" w:cs="仿宋"/>
          <w:color w:val="auto"/>
          <w:sz w:val="32"/>
          <w:szCs w:val="32"/>
          <w:highlight w:val="none"/>
          <w:u w:val="none"/>
          <w:lang w:val="en-US" w:eastAsia="zh-CN"/>
        </w:rPr>
        <w:t>1个</w:t>
      </w:r>
      <w:r>
        <w:rPr>
          <w:rFonts w:hint="eastAsia" w:ascii="仿宋" w:hAnsi="仿宋" w:eastAsia="仿宋" w:cs="仿宋"/>
          <w:color w:val="auto"/>
          <w:sz w:val="32"/>
          <w:szCs w:val="32"/>
          <w:highlight w:val="none"/>
          <w:u w:val="none"/>
          <w:lang w:eastAsia="zh-CN"/>
        </w:rPr>
        <w:t>，</w:t>
      </w:r>
      <w:r>
        <w:rPr>
          <w:rFonts w:hint="eastAsia" w:ascii="仿宋" w:hAnsi="仿宋" w:eastAsia="仿宋" w:cs="仿宋"/>
          <w:b w:val="0"/>
          <w:bCs w:val="0"/>
          <w:color w:val="auto"/>
          <w:sz w:val="32"/>
          <w:szCs w:val="32"/>
          <w:highlight w:val="none"/>
          <w:u w:val="none"/>
          <w:lang w:val="en-US" w:eastAsia="zh-CN"/>
        </w:rPr>
        <w:t>城乡三级流通节点网络基本建成，集采集配体系高效运转。农产品上行渠道更加畅通，品牌影响力提升。与全国总社平台及战略合作伙伴实现业务联通。</w:t>
      </w:r>
    </w:p>
    <w:p w14:paraId="189BA5F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firstLine="640" w:firstLineChars="200"/>
        <w:jc w:val="both"/>
        <w:textAlignment w:val="auto"/>
        <w:rPr>
          <w:rFonts w:hint="eastAsia" w:ascii="仿宋" w:hAnsi="仿宋" w:eastAsia="仿宋" w:cs="仿宋"/>
          <w:b w:val="0"/>
          <w:bCs w:val="0"/>
          <w:color w:val="auto"/>
          <w:sz w:val="32"/>
          <w:szCs w:val="32"/>
          <w:highlight w:val="none"/>
          <w:u w:val="none"/>
          <w:lang w:val="en-US" w:eastAsia="zh-CN"/>
        </w:rPr>
      </w:pPr>
      <w:r>
        <w:rPr>
          <w:rFonts w:hint="eastAsia" w:ascii="仿宋" w:hAnsi="仿宋" w:eastAsia="仿宋" w:cs="仿宋"/>
          <w:b w:val="0"/>
          <w:bCs w:val="0"/>
          <w:color w:val="auto"/>
          <w:sz w:val="32"/>
          <w:szCs w:val="32"/>
          <w:highlight w:val="none"/>
          <w:u w:val="none"/>
          <w:lang w:val="en-US" w:eastAsia="zh-CN"/>
        </w:rPr>
        <w:t>2030年：完成</w:t>
      </w:r>
      <w:r>
        <w:rPr>
          <w:rFonts w:hint="eastAsia" w:ascii="仿宋" w:hAnsi="仿宋" w:eastAsia="仿宋" w:cs="仿宋"/>
          <w:color w:val="auto"/>
          <w:sz w:val="32"/>
          <w:szCs w:val="32"/>
          <w:highlight w:val="none"/>
          <w:u w:val="none"/>
          <w:lang w:eastAsia="zh-CN"/>
        </w:rPr>
        <w:t>市级供销集采集配中心建设项目，</w:t>
      </w:r>
      <w:r>
        <w:rPr>
          <w:rFonts w:hint="eastAsia" w:ascii="仿宋" w:hAnsi="仿宋" w:eastAsia="仿宋" w:cs="仿宋"/>
          <w:b w:val="0"/>
          <w:bCs w:val="0"/>
          <w:color w:val="auto"/>
          <w:sz w:val="32"/>
          <w:szCs w:val="32"/>
          <w:highlight w:val="none"/>
          <w:u w:val="none"/>
          <w:lang w:val="en-US" w:eastAsia="zh-CN"/>
        </w:rPr>
        <w:t>全面建成“空港对接、城乡覆盖、上行全球、下行乡村”的现代流通大平台，供销流通主渠道作用充分凸显。</w:t>
      </w:r>
    </w:p>
    <w:p w14:paraId="7B572342">
      <w:pPr>
        <w:pStyle w:val="4"/>
        <w:bidi w:val="0"/>
        <w:ind w:firstLine="880"/>
        <w:rPr>
          <w:rFonts w:hint="eastAsia" w:ascii="Arial" w:hAnsi="Arial"/>
          <w:b w:val="0"/>
          <w:lang w:val="en-US" w:eastAsia="zh-CN"/>
        </w:rPr>
      </w:pPr>
      <w:bookmarkStart w:id="42" w:name="_Toc9165"/>
      <w:r>
        <w:rPr>
          <w:rFonts w:hint="eastAsia" w:ascii="Arial" w:hAnsi="Arial"/>
          <w:b w:val="0"/>
          <w:lang w:val="en-US" w:eastAsia="zh-CN"/>
        </w:rPr>
        <w:t>（三）具体措施</w:t>
      </w:r>
      <w:bookmarkEnd w:id="42"/>
    </w:p>
    <w:p w14:paraId="66203EF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firstLine="643" w:firstLineChars="200"/>
        <w:jc w:val="both"/>
        <w:textAlignment w:val="auto"/>
        <w:rPr>
          <w:rFonts w:hint="eastAsia" w:ascii="仿宋" w:hAnsi="仿宋" w:eastAsia="仿宋" w:cs="仿宋"/>
          <w:b w:val="0"/>
          <w:bCs w:val="0"/>
          <w:sz w:val="32"/>
          <w:szCs w:val="32"/>
          <w:highlight w:val="none"/>
          <w:u w:val="none"/>
          <w:lang w:val="en-US" w:eastAsia="zh-CN"/>
        </w:rPr>
      </w:pPr>
      <w:r>
        <w:rPr>
          <w:rFonts w:hint="eastAsia" w:ascii="仿宋" w:hAnsi="仿宋" w:eastAsia="仿宋" w:cs="仿宋"/>
          <w:b/>
          <w:bCs/>
          <w:sz w:val="32"/>
          <w:szCs w:val="32"/>
          <w:highlight w:val="none"/>
          <w:u w:val="none"/>
          <w:lang w:val="en-US" w:eastAsia="zh-CN"/>
        </w:rPr>
        <w:t>1.筑牢“空港对接、城乡覆盖”的流通基座。</w:t>
      </w:r>
      <w:r>
        <w:rPr>
          <w:rFonts w:hint="eastAsia" w:ascii="仿宋" w:hAnsi="仿宋" w:eastAsia="仿宋" w:cs="仿宋"/>
          <w:b w:val="0"/>
          <w:bCs w:val="0"/>
          <w:sz w:val="32"/>
          <w:szCs w:val="32"/>
          <w:highlight w:val="none"/>
          <w:u w:val="none"/>
          <w:lang w:val="en-US" w:eastAsia="zh-CN"/>
        </w:rPr>
        <w:t>在临空经济区规划建设临空经济区日用品集采集配中心。升级乡镇综合服务中心，打造“区域枢纽”。全面改造乡镇基层社，借鉴梁子湖区东沟三农服务中心等成功模式，建成多功能综合体。推行“超市+”模式，以标准化超市为基础，叠加“快递物流驿站+农产品展销中心+电商直播基地+农技服务窗口”。激活村级综合服务社，扎牢“末端根系”。在全市推广复制梁子湖区王铺村“基层社、村集体、农户三方共建共营”的成功经验，全面升级村级网点。</w:t>
      </w:r>
    </w:p>
    <w:p w14:paraId="31132D7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firstLine="643" w:firstLineChars="200"/>
        <w:jc w:val="both"/>
        <w:textAlignment w:val="auto"/>
        <w:rPr>
          <w:rFonts w:hint="eastAsia" w:ascii="仿宋" w:hAnsi="仿宋" w:eastAsia="仿宋" w:cs="仿宋"/>
          <w:b w:val="0"/>
          <w:bCs w:val="0"/>
          <w:sz w:val="32"/>
          <w:szCs w:val="32"/>
          <w:highlight w:val="none"/>
          <w:u w:val="none"/>
          <w:lang w:val="en-US" w:eastAsia="zh-CN"/>
        </w:rPr>
      </w:pPr>
      <w:r>
        <w:rPr>
          <w:rFonts w:hint="eastAsia" w:ascii="仿宋" w:hAnsi="仿宋" w:eastAsia="仿宋" w:cs="仿宋"/>
          <w:b/>
          <w:bCs/>
          <w:sz w:val="32"/>
          <w:szCs w:val="32"/>
          <w:highlight w:val="none"/>
          <w:u w:val="none"/>
          <w:lang w:val="en-US" w:eastAsia="zh-CN"/>
        </w:rPr>
        <w:t>2.构建“上行全球、下行乡村”的供销通道。</w:t>
      </w:r>
      <w:r>
        <w:rPr>
          <w:rFonts w:hint="eastAsia" w:ascii="仿宋" w:hAnsi="仿宋" w:eastAsia="仿宋" w:cs="仿宋"/>
          <w:b w:val="0"/>
          <w:bCs w:val="0"/>
          <w:sz w:val="32"/>
          <w:szCs w:val="32"/>
          <w:highlight w:val="none"/>
          <w:u w:val="none"/>
          <w:lang w:val="en-US" w:eastAsia="zh-CN"/>
        </w:rPr>
        <w:t>做强农产品上行链，打响鄂州供销品牌。优化日用品下行链，实现“惠农便民”供给。依托鄂州供销集团，对大宗日用品、知名品牌商品实行集中采购，减少中间环节。成立鄂州供销集采集配中心，深入推进“互联网+第四方物流”供销集配体系建设，积极联结全国供销总社农用品和冷链物流国家级平台，与银行、邮政等部门签署战略合作协议，搭建物流平台共用配送网络，共同推进农村寄递物流体系、农村电商平台、基层便民阵地等网络共建共享。</w:t>
      </w:r>
    </w:p>
    <w:p w14:paraId="403980B7">
      <w:pPr>
        <w:keepNext w:val="0"/>
        <w:keepLines w:val="0"/>
        <w:pageBreakBefore w:val="0"/>
        <w:wordWrap/>
        <w:overflowPunct/>
        <w:topLinePunct w:val="0"/>
        <w:bidi w:val="0"/>
        <w:adjustRightInd/>
        <w:snapToGrid/>
        <w:spacing w:line="240" w:lineRule="auto"/>
        <w:ind w:firstLine="643" w:firstLineChars="200"/>
        <w:jc w:val="both"/>
        <w:rPr>
          <w:rFonts w:hint="eastAsia" w:ascii="仿宋" w:hAnsi="仿宋" w:eastAsia="仿宋" w:cs="仿宋"/>
          <w:sz w:val="32"/>
          <w:szCs w:val="32"/>
          <w:highlight w:val="none"/>
          <w:u w:val="none"/>
          <w:lang w:val="en-US" w:eastAsia="zh-CN"/>
        </w:rPr>
      </w:pPr>
      <w:r>
        <w:rPr>
          <w:rFonts w:hint="eastAsia" w:ascii="仿宋" w:hAnsi="仿宋" w:eastAsia="仿宋" w:cs="仿宋"/>
          <w:b/>
          <w:bCs/>
          <w:sz w:val="32"/>
          <w:szCs w:val="32"/>
          <w:highlight w:val="none"/>
          <w:u w:val="none"/>
          <w:lang w:val="en-US" w:eastAsia="zh-CN"/>
        </w:rPr>
        <w:t>3.打造“为农务农、融入产业”的服务平台。</w:t>
      </w:r>
      <w:r>
        <w:rPr>
          <w:rFonts w:hint="eastAsia" w:ascii="仿宋" w:hAnsi="仿宋" w:eastAsia="仿宋" w:cs="仿宋"/>
          <w:sz w:val="32"/>
          <w:szCs w:val="32"/>
          <w:highlight w:val="none"/>
          <w:u w:val="none"/>
          <w:lang w:val="en-US" w:eastAsia="zh-CN"/>
        </w:rPr>
        <w:t>在重点乡镇，通过恢复重建、改造升级基层社（综合超市），打造集购物消费、农产品加工销售于一体的商贸综合体，让农民得实惠、基层社得发展。整合全系统优势资源，与辐射能力强、带动效果好的优质龙头企业加强合作，加大产销衔接力度，构建跨区域、跨层级高效顺畅的日用品流通服务网络，开展集采集配、直供直销、联合合作，建立长期稳定的产销衔接关系。</w:t>
      </w:r>
    </w:p>
    <w:tbl>
      <w:tblPr>
        <w:tblStyle w:val="13"/>
        <w:tblpPr w:leftFromText="180" w:rightFromText="180" w:vertAnchor="text" w:horzAnchor="page" w:tblpX="1816" w:tblpY="162"/>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2524C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522" w:type="dxa"/>
            <w:noWrap w:val="0"/>
            <w:vAlign w:val="top"/>
          </w:tcPr>
          <w:p w14:paraId="04F2CA3B">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default" w:ascii="仿宋_GB2312" w:hAnsi="仿宋_GB2312" w:eastAsia="黑体" w:cs="仿宋_GB2312"/>
                <w:b w:val="0"/>
                <w:bCs w:val="0"/>
                <w:sz w:val="32"/>
                <w:szCs w:val="32"/>
                <w:highlight w:val="none"/>
                <w:u w:val="none"/>
                <w:vertAlign w:val="baseline"/>
                <w:lang w:val="en-US" w:eastAsia="zh-CN"/>
              </w:rPr>
            </w:pPr>
            <w:r>
              <w:rPr>
                <w:rFonts w:hint="eastAsia" w:ascii="黑体" w:hAnsi="黑体" w:eastAsia="黑体" w:cs="黑体"/>
                <w:b w:val="0"/>
                <w:bCs w:val="0"/>
                <w:sz w:val="32"/>
                <w:szCs w:val="32"/>
                <w:highlight w:val="none"/>
                <w:u w:val="none"/>
                <w:vertAlign w:val="baseline"/>
                <w:lang w:val="en-US" w:eastAsia="zh-CN"/>
              </w:rPr>
              <w:t>项目专栏</w:t>
            </w:r>
          </w:p>
        </w:tc>
      </w:tr>
      <w:tr w14:paraId="3D1D4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trPr>
        <w:tc>
          <w:tcPr>
            <w:tcW w:w="8522" w:type="dxa"/>
            <w:noWrap w:val="0"/>
            <w:vAlign w:val="top"/>
          </w:tcPr>
          <w:p w14:paraId="7408E28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00" w:firstLineChars="200"/>
              <w:jc w:val="both"/>
              <w:textAlignment w:val="auto"/>
              <w:rPr>
                <w:rFonts w:hint="eastAsia" w:ascii="仿宋" w:hAnsi="仿宋" w:eastAsia="仿宋" w:cs="仿宋"/>
                <w:color w:val="000000"/>
                <w:kern w:val="0"/>
                <w:sz w:val="32"/>
                <w:szCs w:val="32"/>
                <w:highlight w:val="none"/>
                <w:u w:val="none"/>
                <w:lang w:val="en-US" w:eastAsia="zh-CN" w:bidi="ar-SA"/>
              </w:rPr>
            </w:pPr>
            <w:r>
              <w:rPr>
                <w:rFonts w:hint="eastAsia" w:ascii="黑体" w:hAnsi="黑体" w:eastAsia="黑体" w:cs="黑体"/>
                <w:b w:val="0"/>
                <w:bCs w:val="0"/>
                <w:snapToGrid w:val="0"/>
                <w:color w:val="auto"/>
                <w:spacing w:val="0"/>
                <w:kern w:val="0"/>
                <w:sz w:val="30"/>
                <w:szCs w:val="30"/>
                <w:highlight w:val="none"/>
                <w:u w:val="none"/>
                <w:lang w:val="en-US" w:eastAsia="zh-CN" w:bidi="ar"/>
              </w:rPr>
              <w:t>鄂州供销集采集配中心项目：</w:t>
            </w:r>
            <w:r>
              <w:rPr>
                <w:rFonts w:hint="eastAsia" w:ascii="仿宋" w:hAnsi="仿宋" w:eastAsia="仿宋" w:cs="仿宋"/>
                <w:color w:val="000000"/>
                <w:kern w:val="0"/>
                <w:sz w:val="32"/>
                <w:szCs w:val="32"/>
                <w:highlight w:val="none"/>
                <w:u w:val="none"/>
                <w:lang w:val="en-US" w:eastAsia="zh-CN" w:bidi="ar-SA"/>
              </w:rPr>
              <w:t>建设覆盖全市的供销一体化集采集配枢纽，实现农副产品、日用消费品、农业生产资料等商品集中采购、统一配送。完善冷链仓储、分拣加工、信息调度、质量检测等基础设施，打造智慧物流管理系统。推动“基地—中心—网点”三级配送网络贯通，提升城乡商品双向流通效率。项目建成后将有效降低流通成本、保障市场供应、稳定商品价格，增强供销系统服务城乡居民生产生活能力，助力构建高效畅通的城乡供应链体系。</w:t>
            </w:r>
          </w:p>
          <w:p w14:paraId="2B584D6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00" w:firstLineChars="200"/>
              <w:jc w:val="both"/>
              <w:textAlignment w:val="auto"/>
              <w:rPr>
                <w:rFonts w:hint="eastAsia" w:ascii="仿宋" w:hAnsi="仿宋" w:eastAsia="仿宋" w:cs="仿宋"/>
                <w:color w:val="000000"/>
                <w:kern w:val="0"/>
                <w:sz w:val="32"/>
                <w:szCs w:val="32"/>
                <w:highlight w:val="none"/>
                <w:u w:val="none"/>
                <w:lang w:val="en-US" w:eastAsia="zh-CN" w:bidi="ar-SA"/>
              </w:rPr>
            </w:pPr>
            <w:r>
              <w:rPr>
                <w:rFonts w:hint="eastAsia" w:ascii="黑体" w:hAnsi="黑体" w:eastAsia="黑体" w:cs="黑体"/>
                <w:b w:val="0"/>
                <w:bCs w:val="0"/>
                <w:snapToGrid w:val="0"/>
                <w:color w:val="auto"/>
                <w:spacing w:val="0"/>
                <w:kern w:val="0"/>
                <w:sz w:val="30"/>
                <w:szCs w:val="30"/>
                <w:highlight w:val="none"/>
                <w:u w:val="none"/>
                <w:lang w:val="en-US" w:eastAsia="zh-CN" w:bidi="ar"/>
              </w:rPr>
              <w:t>鄂州供销农产品加工工业园项目：</w:t>
            </w:r>
            <w:r>
              <w:rPr>
                <w:rFonts w:hint="eastAsia" w:ascii="仿宋_GB2312" w:hAnsi="仿宋_GB2312" w:eastAsia="仿宋_GB2312" w:cs="仿宋_GB2312"/>
                <w:b w:val="0"/>
                <w:bCs w:val="0"/>
                <w:snapToGrid w:val="0"/>
                <w:color w:val="auto"/>
                <w:spacing w:val="0"/>
                <w:kern w:val="0"/>
                <w:sz w:val="32"/>
                <w:szCs w:val="32"/>
                <w:highlight w:val="none"/>
                <w:u w:val="none"/>
                <w:lang w:val="en-US" w:eastAsia="zh-CN" w:bidi="ar"/>
              </w:rPr>
              <w:t>实施园区基础设施改</w:t>
            </w:r>
            <w:r>
              <w:rPr>
                <w:rFonts w:hint="eastAsia" w:ascii="仿宋" w:hAnsi="仿宋" w:eastAsia="仿宋" w:cs="仿宋"/>
                <w:color w:val="000000"/>
                <w:kern w:val="0"/>
                <w:sz w:val="32"/>
                <w:szCs w:val="32"/>
                <w:highlight w:val="none"/>
                <w:u w:val="none"/>
                <w:lang w:val="en-US" w:eastAsia="zh-CN" w:bidi="ar-SA"/>
              </w:rPr>
              <w:t>造，完成院墙基础及院墙建设334米；推进场地硬化工程3161平方米；开展蓄水池清淤及整修。同步配套完善园区道路、管网、环保及消防设施，提升园区承载能力。项目建成后将进一步改善园区生产环境，增强农产品初加工、仓储配送和冷链服务功能，推动供销系统农产品加工集约化、标准化发展，助力区域农业产业升级和农民增收。</w:t>
            </w:r>
          </w:p>
          <w:p w14:paraId="70619BE2">
            <w:pPr>
              <w:pStyle w:val="16"/>
              <w:keepNext w:val="0"/>
              <w:keepLines w:val="0"/>
              <w:pageBreakBefore w:val="0"/>
              <w:widowControl w:val="0"/>
              <w:kinsoku/>
              <w:wordWrap/>
              <w:overflowPunct/>
              <w:topLinePunct w:val="0"/>
              <w:bidi w:val="0"/>
              <w:adjustRightInd/>
              <w:snapToGrid/>
              <w:spacing w:line="240" w:lineRule="auto"/>
              <w:ind w:firstLine="600" w:firstLineChars="200"/>
              <w:jc w:val="both"/>
              <w:textAlignment w:val="auto"/>
              <w:rPr>
                <w:rFonts w:hint="eastAsia" w:ascii="仿宋" w:hAnsi="仿宋" w:eastAsia="仿宋" w:cs="仿宋"/>
                <w:sz w:val="32"/>
                <w:szCs w:val="32"/>
                <w:highlight w:val="none"/>
                <w:u w:val="none"/>
                <w:lang w:val="en-US" w:eastAsia="zh-CN"/>
              </w:rPr>
            </w:pPr>
            <w:r>
              <w:rPr>
                <w:rFonts w:hint="eastAsia" w:ascii="黑体" w:hAnsi="黑体" w:eastAsia="黑体" w:cs="黑体"/>
                <w:sz w:val="30"/>
                <w:szCs w:val="30"/>
                <w:highlight w:val="none"/>
                <w:u w:val="none"/>
                <w:lang w:val="en-US" w:eastAsia="zh-CN"/>
              </w:rPr>
              <w:t>临空经济区日用品集采集配冷链物流中心项目</w:t>
            </w:r>
            <w:r>
              <w:rPr>
                <w:rFonts w:hint="eastAsia" w:hAnsi="黑体" w:cs="黑体"/>
                <w:sz w:val="30"/>
                <w:szCs w:val="30"/>
                <w:highlight w:val="none"/>
                <w:u w:val="none"/>
                <w:lang w:val="en-US" w:eastAsia="zh-CN"/>
              </w:rPr>
              <w:t>：</w:t>
            </w:r>
            <w:r>
              <w:rPr>
                <w:rFonts w:hint="eastAsia" w:ascii="仿宋" w:hAnsi="仿宋" w:eastAsia="仿宋" w:cs="仿宋"/>
                <w:sz w:val="32"/>
                <w:szCs w:val="32"/>
                <w:highlight w:val="none"/>
                <w:u w:val="none"/>
                <w:lang w:val="en-US" w:eastAsia="zh-CN"/>
              </w:rPr>
              <w:t>依托临空区位与交通优势，建设集日用品集中采购、统一分拨、智慧配送于一体的现代化集采集配枢纽，同步打造标准化、规模化农产品冷链物流中心。完善冷链仓储、温控分拣、信息平台等配套设施，构建“集中采购—冷链储运—城乡配送”一体化运营体系。</w:t>
            </w:r>
          </w:p>
          <w:p w14:paraId="53A4561F">
            <w:pPr>
              <w:pStyle w:val="16"/>
              <w:keepNext w:val="0"/>
              <w:keepLines w:val="0"/>
              <w:pageBreakBefore w:val="0"/>
              <w:widowControl w:val="0"/>
              <w:kinsoku/>
              <w:wordWrap/>
              <w:overflowPunct/>
              <w:topLinePunct w:val="0"/>
              <w:bidi w:val="0"/>
              <w:adjustRightInd/>
              <w:snapToGrid/>
              <w:spacing w:line="240" w:lineRule="auto"/>
              <w:ind w:firstLine="600" w:firstLineChars="200"/>
              <w:jc w:val="both"/>
              <w:textAlignment w:val="auto"/>
              <w:rPr>
                <w:rFonts w:hint="default" w:ascii="仿宋" w:hAnsi="仿宋" w:eastAsia="仿宋" w:cs="仿宋"/>
                <w:sz w:val="32"/>
                <w:szCs w:val="32"/>
                <w:highlight w:val="none"/>
                <w:u w:val="none"/>
                <w:lang w:val="en-US" w:eastAsia="zh-CN"/>
              </w:rPr>
            </w:pPr>
            <w:r>
              <w:rPr>
                <w:rFonts w:hint="eastAsia" w:ascii="黑体" w:hAnsi="黑体" w:eastAsia="黑体" w:cs="黑体"/>
                <w:sz w:val="30"/>
                <w:szCs w:val="30"/>
                <w:highlight w:val="none"/>
                <w:u w:val="none"/>
                <w:lang w:val="en-US" w:eastAsia="zh-CN"/>
              </w:rPr>
              <w:t>梁子湖区供销集采集配中心升级改造项目</w:t>
            </w:r>
            <w:r>
              <w:rPr>
                <w:rFonts w:hint="eastAsia" w:hAnsi="黑体" w:cs="黑体"/>
                <w:sz w:val="30"/>
                <w:szCs w:val="30"/>
                <w:highlight w:val="none"/>
                <w:u w:val="none"/>
                <w:lang w:val="en-US" w:eastAsia="zh-CN"/>
              </w:rPr>
              <w:t>：</w:t>
            </w:r>
            <w:r>
              <w:rPr>
                <w:rFonts w:hint="eastAsia" w:ascii="仿宋" w:hAnsi="仿宋" w:eastAsia="仿宋" w:cs="仿宋"/>
                <w:sz w:val="32"/>
                <w:szCs w:val="32"/>
                <w:highlight w:val="none"/>
                <w:u w:val="none"/>
                <w:lang w:val="en-US" w:eastAsia="zh-CN"/>
              </w:rPr>
              <w:t>完成项目基础设施升级，对现有场地进行平整硬化，合理规划功能分区，提升空间利用率，完成内部道路修缮，确保车辆高效通行。对仓库进行结构加固和隔热处理，提升存储环境，增设或升级冷藏、冷冻等温控设施，满足不同商品需求。</w:t>
            </w:r>
          </w:p>
        </w:tc>
      </w:tr>
    </w:tbl>
    <w:p w14:paraId="4F27EF3D">
      <w:pPr>
        <w:pStyle w:val="3"/>
        <w:bidi w:val="0"/>
        <w:rPr>
          <w:rFonts w:hint="eastAsia"/>
          <w:lang w:val="en-US" w:eastAsia="zh-CN"/>
        </w:rPr>
      </w:pPr>
      <w:bookmarkStart w:id="43" w:name="_Toc13887"/>
      <w:r>
        <w:rPr>
          <w:rFonts w:hint="eastAsia"/>
          <w:lang w:val="en-US" w:eastAsia="zh-CN"/>
        </w:rPr>
        <w:t>十、加快建成再生资源回收利用“生力军”，提升供销两网“覆盖率”</w:t>
      </w:r>
      <w:bookmarkEnd w:id="43"/>
    </w:p>
    <w:p w14:paraId="3EC4927F">
      <w:pPr>
        <w:pStyle w:val="4"/>
        <w:bidi w:val="0"/>
        <w:ind w:firstLine="880"/>
        <w:rPr>
          <w:rFonts w:hint="eastAsia" w:ascii="Arial" w:hAnsi="Arial"/>
          <w:b w:val="0"/>
          <w:lang w:eastAsia="zh-CN"/>
        </w:rPr>
      </w:pPr>
      <w:bookmarkStart w:id="44" w:name="_Toc11338"/>
      <w:r>
        <w:rPr>
          <w:rFonts w:hint="eastAsia" w:ascii="Arial" w:hAnsi="Arial"/>
          <w:b w:val="0"/>
          <w:lang w:eastAsia="zh-CN"/>
        </w:rPr>
        <w:t>（</w:t>
      </w:r>
      <w:r>
        <w:rPr>
          <w:rFonts w:hint="eastAsia" w:ascii="Arial" w:hAnsi="Arial"/>
          <w:b w:val="0"/>
          <w:lang w:val="en-US" w:eastAsia="zh-CN"/>
        </w:rPr>
        <w:t>一</w:t>
      </w:r>
      <w:r>
        <w:rPr>
          <w:rFonts w:hint="eastAsia" w:ascii="Arial" w:hAnsi="Arial"/>
          <w:b w:val="0"/>
          <w:lang w:eastAsia="zh-CN"/>
        </w:rPr>
        <w:t>）任务目标</w:t>
      </w:r>
      <w:bookmarkEnd w:id="44"/>
    </w:p>
    <w:p w14:paraId="1402077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jc w:val="both"/>
        <w:textAlignment w:val="auto"/>
        <w:rPr>
          <w:rFonts w:hint="eastAsia" w:ascii="仿宋" w:hAnsi="仿宋" w:eastAsia="仿宋" w:cs="仿宋"/>
          <w:color w:val="000000"/>
          <w:kern w:val="0"/>
          <w:sz w:val="32"/>
          <w:szCs w:val="32"/>
          <w:highlight w:val="none"/>
          <w:u w:val="none"/>
          <w:lang w:val="en-US" w:eastAsia="zh-CN" w:bidi="ar-SA"/>
        </w:rPr>
      </w:pPr>
      <w:r>
        <w:rPr>
          <w:rFonts w:hint="eastAsia" w:ascii="仿宋" w:hAnsi="仿宋" w:eastAsia="仿宋" w:cs="仿宋"/>
          <w:color w:val="000000"/>
          <w:kern w:val="0"/>
          <w:sz w:val="32"/>
          <w:szCs w:val="32"/>
          <w:highlight w:val="none"/>
          <w:u w:val="none"/>
          <w:lang w:val="en-US" w:eastAsia="zh-CN" w:bidi="ar-SA"/>
        </w:rPr>
        <w:t>到2030年底，全面建成标准化规范化回收站点50个、绿色分拣中心3个、数字化平台3个、循环经济园区1个，形成再生资源回收利用体系。“两网融合”机制高效运行，重点品类回收率显著提升，产业链条有效延伸，数字化监管与服务全面覆盖，形成可复制、可推广的“鄂州供销模式”，使供销系统成为鄂州市绿色低碳循环发展的坚强生力军。</w:t>
      </w:r>
    </w:p>
    <w:p w14:paraId="6BAA9CF3">
      <w:pPr>
        <w:pStyle w:val="4"/>
        <w:bidi w:val="0"/>
        <w:ind w:firstLine="880"/>
        <w:rPr>
          <w:rFonts w:hint="eastAsia" w:ascii="Arial" w:hAnsi="Arial"/>
          <w:b w:val="0"/>
          <w:lang w:eastAsia="zh-CN"/>
        </w:rPr>
      </w:pPr>
      <w:bookmarkStart w:id="45" w:name="_Toc6258"/>
      <w:r>
        <w:rPr>
          <w:rFonts w:hint="eastAsia" w:ascii="Arial" w:hAnsi="Arial"/>
          <w:b w:val="0"/>
          <w:lang w:eastAsia="zh-CN"/>
        </w:rPr>
        <w:t>（</w:t>
      </w:r>
      <w:r>
        <w:rPr>
          <w:rFonts w:hint="eastAsia" w:ascii="Arial" w:hAnsi="Arial"/>
          <w:b w:val="0"/>
          <w:lang w:val="en-US" w:eastAsia="zh-CN"/>
        </w:rPr>
        <w:t>二</w:t>
      </w:r>
      <w:r>
        <w:rPr>
          <w:rFonts w:hint="eastAsia" w:ascii="Arial" w:hAnsi="Arial"/>
          <w:b w:val="0"/>
          <w:lang w:eastAsia="zh-CN"/>
        </w:rPr>
        <w:t>）年度分解</w:t>
      </w:r>
      <w:bookmarkEnd w:id="45"/>
    </w:p>
    <w:p w14:paraId="786696C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jc w:val="both"/>
        <w:textAlignment w:val="auto"/>
        <w:rPr>
          <w:rFonts w:hint="eastAsia" w:ascii="仿宋" w:hAnsi="仿宋" w:eastAsia="仿宋" w:cs="仿宋"/>
          <w:b w:val="0"/>
          <w:bCs w:val="0"/>
          <w:sz w:val="32"/>
          <w:szCs w:val="32"/>
          <w:highlight w:val="none"/>
          <w:u w:val="none"/>
        </w:rPr>
      </w:pPr>
      <w:r>
        <w:rPr>
          <w:rFonts w:hint="eastAsia" w:ascii="仿宋" w:hAnsi="仿宋" w:eastAsia="仿宋" w:cs="仿宋"/>
          <w:b w:val="0"/>
          <w:bCs w:val="0"/>
          <w:sz w:val="32"/>
          <w:szCs w:val="32"/>
          <w:highlight w:val="none"/>
          <w:u w:val="none"/>
        </w:rPr>
        <w:t>2026年</w:t>
      </w:r>
      <w:r>
        <w:rPr>
          <w:rFonts w:hint="eastAsia" w:ascii="仿宋" w:hAnsi="仿宋" w:eastAsia="仿宋" w:cs="仿宋"/>
          <w:b w:val="0"/>
          <w:bCs w:val="0"/>
          <w:sz w:val="32"/>
          <w:szCs w:val="32"/>
          <w:highlight w:val="none"/>
          <w:u w:val="none"/>
          <w:lang w:eastAsia="zh-CN"/>
        </w:rPr>
        <w:t>：</w:t>
      </w:r>
      <w:r>
        <w:rPr>
          <w:rFonts w:hint="eastAsia" w:ascii="仿宋" w:hAnsi="仿宋" w:eastAsia="仿宋" w:cs="仿宋"/>
          <w:b w:val="0"/>
          <w:bCs w:val="0"/>
          <w:sz w:val="32"/>
          <w:szCs w:val="32"/>
          <w:highlight w:val="none"/>
          <w:u w:val="none"/>
        </w:rPr>
        <w:t>启动奠基年</w:t>
      </w:r>
      <w:r>
        <w:rPr>
          <w:rFonts w:hint="eastAsia" w:ascii="仿宋" w:hAnsi="仿宋" w:eastAsia="仿宋" w:cs="仿宋"/>
          <w:b w:val="0"/>
          <w:bCs w:val="0"/>
          <w:sz w:val="32"/>
          <w:szCs w:val="32"/>
          <w:highlight w:val="none"/>
          <w:u w:val="none"/>
          <w:lang w:eastAsia="zh-CN"/>
        </w:rPr>
        <w:t>，</w:t>
      </w:r>
      <w:r>
        <w:rPr>
          <w:rFonts w:hint="eastAsia" w:ascii="仿宋" w:hAnsi="仿宋" w:eastAsia="仿宋" w:cs="仿宋"/>
          <w:b w:val="0"/>
          <w:bCs w:val="0"/>
          <w:sz w:val="32"/>
          <w:szCs w:val="32"/>
          <w:highlight w:val="none"/>
          <w:u w:val="none"/>
        </w:rPr>
        <w:t>完成顶层设计与试点布局，启动核心项目建设，初步建立工作机制</w:t>
      </w:r>
      <w:r>
        <w:rPr>
          <w:rFonts w:hint="eastAsia" w:ascii="仿宋" w:hAnsi="仿宋" w:eastAsia="仿宋" w:cs="仿宋"/>
          <w:b w:val="0"/>
          <w:bCs w:val="0"/>
          <w:sz w:val="32"/>
          <w:szCs w:val="32"/>
          <w:highlight w:val="none"/>
          <w:u w:val="none"/>
          <w:lang w:eastAsia="zh-CN"/>
        </w:rPr>
        <w:t>。</w:t>
      </w:r>
      <w:r>
        <w:rPr>
          <w:rFonts w:hint="eastAsia" w:ascii="仿宋" w:hAnsi="仿宋" w:eastAsia="仿宋" w:cs="仿宋"/>
          <w:b w:val="0"/>
          <w:bCs w:val="0"/>
          <w:sz w:val="32"/>
          <w:szCs w:val="32"/>
          <w:highlight w:val="none"/>
          <w:u w:val="none"/>
        </w:rPr>
        <w:t>建成标准化回收站点8个</w:t>
      </w:r>
      <w:r>
        <w:rPr>
          <w:rFonts w:hint="eastAsia" w:ascii="仿宋" w:hAnsi="仿宋" w:eastAsia="仿宋" w:cs="仿宋"/>
          <w:b w:val="0"/>
          <w:bCs w:val="0"/>
          <w:sz w:val="32"/>
          <w:szCs w:val="32"/>
          <w:highlight w:val="none"/>
          <w:u w:val="none"/>
          <w:lang w:eastAsia="zh-CN"/>
        </w:rPr>
        <w:t>，</w:t>
      </w:r>
      <w:r>
        <w:rPr>
          <w:rFonts w:hint="eastAsia" w:ascii="仿宋" w:hAnsi="仿宋" w:eastAsia="仿宋" w:cs="仿宋"/>
          <w:b w:val="0"/>
          <w:bCs w:val="0"/>
          <w:sz w:val="32"/>
          <w:szCs w:val="32"/>
          <w:highlight w:val="none"/>
          <w:u w:val="none"/>
        </w:rPr>
        <w:t>启动1个区级“两网融合”示范点</w:t>
      </w:r>
      <w:r>
        <w:rPr>
          <w:rFonts w:hint="eastAsia" w:ascii="仿宋" w:hAnsi="仿宋" w:eastAsia="仿宋" w:cs="仿宋"/>
          <w:b w:val="0"/>
          <w:bCs w:val="0"/>
          <w:sz w:val="32"/>
          <w:szCs w:val="32"/>
          <w:highlight w:val="none"/>
          <w:u w:val="none"/>
          <w:lang w:eastAsia="zh-CN"/>
        </w:rPr>
        <w:t>，</w:t>
      </w:r>
      <w:r>
        <w:rPr>
          <w:rFonts w:hint="eastAsia" w:ascii="仿宋" w:hAnsi="仿宋" w:eastAsia="仿宋" w:cs="仿宋"/>
          <w:b w:val="0"/>
          <w:bCs w:val="0"/>
          <w:sz w:val="32"/>
          <w:szCs w:val="32"/>
          <w:highlight w:val="none"/>
          <w:u w:val="none"/>
        </w:rPr>
        <w:t>完成首个分拣中心前期手续。</w:t>
      </w:r>
    </w:p>
    <w:p w14:paraId="618974C5">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 w:hAnsi="仿宋" w:eastAsia="仿宋" w:cs="仿宋"/>
          <w:b w:val="0"/>
          <w:bCs w:val="0"/>
          <w:sz w:val="32"/>
          <w:szCs w:val="32"/>
          <w:highlight w:val="none"/>
          <w:u w:val="none"/>
        </w:rPr>
      </w:pPr>
      <w:r>
        <w:rPr>
          <w:rFonts w:hint="eastAsia" w:ascii="仿宋" w:hAnsi="仿宋" w:eastAsia="仿宋" w:cs="仿宋"/>
          <w:b w:val="0"/>
          <w:bCs w:val="0"/>
          <w:sz w:val="32"/>
          <w:szCs w:val="32"/>
          <w:highlight w:val="none"/>
          <w:u w:val="none"/>
        </w:rPr>
        <w:t>2027年</w:t>
      </w:r>
      <w:r>
        <w:rPr>
          <w:rFonts w:hint="eastAsia" w:ascii="仿宋" w:hAnsi="仿宋" w:eastAsia="仿宋" w:cs="仿宋"/>
          <w:b w:val="0"/>
          <w:bCs w:val="0"/>
          <w:sz w:val="32"/>
          <w:szCs w:val="32"/>
          <w:highlight w:val="none"/>
          <w:u w:val="none"/>
          <w:lang w:eastAsia="zh-CN"/>
        </w:rPr>
        <w:t>：</w:t>
      </w:r>
      <w:r>
        <w:rPr>
          <w:rFonts w:hint="eastAsia" w:ascii="仿宋" w:hAnsi="仿宋" w:eastAsia="仿宋" w:cs="仿宋"/>
          <w:b w:val="0"/>
          <w:bCs w:val="0"/>
          <w:sz w:val="32"/>
          <w:szCs w:val="32"/>
          <w:highlight w:val="none"/>
          <w:u w:val="none"/>
        </w:rPr>
        <w:t>试点推进年</w:t>
      </w:r>
      <w:r>
        <w:rPr>
          <w:rFonts w:hint="eastAsia" w:ascii="仿宋" w:hAnsi="仿宋" w:eastAsia="仿宋" w:cs="仿宋"/>
          <w:b w:val="0"/>
          <w:bCs w:val="0"/>
          <w:sz w:val="32"/>
          <w:szCs w:val="32"/>
          <w:highlight w:val="none"/>
          <w:u w:val="none"/>
          <w:lang w:eastAsia="zh-CN"/>
        </w:rPr>
        <w:t>，</w:t>
      </w:r>
      <w:r>
        <w:rPr>
          <w:rFonts w:hint="eastAsia" w:ascii="仿宋" w:hAnsi="仿宋" w:eastAsia="仿宋" w:cs="仿宋"/>
          <w:b w:val="0"/>
          <w:bCs w:val="0"/>
          <w:sz w:val="32"/>
          <w:szCs w:val="32"/>
          <w:highlight w:val="none"/>
          <w:u w:val="none"/>
        </w:rPr>
        <w:t>试点项目初见成效，核心平台上线运行，网络框架初步形成。建成标准化回收站点18个</w:t>
      </w:r>
      <w:r>
        <w:rPr>
          <w:rFonts w:hint="eastAsia" w:ascii="仿宋" w:hAnsi="仿宋" w:eastAsia="仿宋" w:cs="仿宋"/>
          <w:b w:val="0"/>
          <w:bCs w:val="0"/>
          <w:sz w:val="32"/>
          <w:szCs w:val="32"/>
          <w:highlight w:val="none"/>
          <w:u w:val="none"/>
          <w:lang w:eastAsia="zh-CN"/>
        </w:rPr>
        <w:t>，</w:t>
      </w:r>
      <w:r>
        <w:rPr>
          <w:rFonts w:hint="eastAsia" w:ascii="仿宋" w:hAnsi="仿宋" w:eastAsia="仿宋" w:cs="仿宋"/>
          <w:b w:val="0"/>
          <w:bCs w:val="0"/>
          <w:sz w:val="32"/>
          <w:szCs w:val="32"/>
          <w:highlight w:val="none"/>
          <w:u w:val="none"/>
          <w:lang w:val="en-US" w:eastAsia="zh-CN"/>
        </w:rPr>
        <w:t>1</w:t>
      </w:r>
      <w:r>
        <w:rPr>
          <w:rFonts w:hint="eastAsia" w:ascii="仿宋" w:hAnsi="仿宋" w:eastAsia="仿宋" w:cs="仿宋"/>
          <w:b w:val="0"/>
          <w:bCs w:val="0"/>
          <w:sz w:val="32"/>
          <w:szCs w:val="32"/>
          <w:highlight w:val="none"/>
          <w:u w:val="none"/>
        </w:rPr>
        <w:t>个分拣中心开工</w:t>
      </w:r>
      <w:r>
        <w:rPr>
          <w:rFonts w:hint="eastAsia" w:ascii="仿宋" w:hAnsi="仿宋" w:eastAsia="仿宋" w:cs="仿宋"/>
          <w:b w:val="0"/>
          <w:bCs w:val="0"/>
          <w:sz w:val="32"/>
          <w:szCs w:val="32"/>
          <w:highlight w:val="none"/>
          <w:u w:val="none"/>
          <w:lang w:eastAsia="zh-CN"/>
        </w:rPr>
        <w:t>，</w:t>
      </w:r>
      <w:r>
        <w:rPr>
          <w:rFonts w:hint="eastAsia" w:ascii="仿宋" w:hAnsi="仿宋" w:eastAsia="仿宋" w:cs="仿宋"/>
          <w:b w:val="0"/>
          <w:bCs w:val="0"/>
          <w:sz w:val="32"/>
          <w:szCs w:val="32"/>
          <w:highlight w:val="none"/>
          <w:u w:val="none"/>
        </w:rPr>
        <w:t>市级数字化平台（一期）试运行。</w:t>
      </w:r>
    </w:p>
    <w:p w14:paraId="0BC1A76B">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 w:hAnsi="仿宋" w:eastAsia="仿宋" w:cs="仿宋"/>
          <w:b w:val="0"/>
          <w:bCs w:val="0"/>
          <w:sz w:val="32"/>
          <w:szCs w:val="32"/>
          <w:highlight w:val="none"/>
          <w:u w:val="none"/>
        </w:rPr>
      </w:pPr>
      <w:r>
        <w:rPr>
          <w:rFonts w:hint="eastAsia" w:ascii="仿宋" w:hAnsi="仿宋" w:eastAsia="仿宋" w:cs="仿宋"/>
          <w:b w:val="0"/>
          <w:bCs w:val="0"/>
          <w:sz w:val="32"/>
          <w:szCs w:val="32"/>
          <w:highlight w:val="none"/>
          <w:u w:val="none"/>
        </w:rPr>
        <w:t>2028年</w:t>
      </w:r>
      <w:r>
        <w:rPr>
          <w:rFonts w:hint="eastAsia" w:ascii="仿宋" w:hAnsi="仿宋" w:eastAsia="仿宋" w:cs="仿宋"/>
          <w:b w:val="0"/>
          <w:bCs w:val="0"/>
          <w:sz w:val="32"/>
          <w:szCs w:val="32"/>
          <w:highlight w:val="none"/>
          <w:u w:val="none"/>
          <w:lang w:eastAsia="zh-CN"/>
        </w:rPr>
        <w:t>：</w:t>
      </w:r>
      <w:r>
        <w:rPr>
          <w:rFonts w:hint="eastAsia" w:ascii="仿宋" w:hAnsi="仿宋" w:eastAsia="仿宋" w:cs="仿宋"/>
          <w:b w:val="0"/>
          <w:bCs w:val="0"/>
          <w:sz w:val="32"/>
          <w:szCs w:val="32"/>
          <w:highlight w:val="none"/>
          <w:u w:val="none"/>
        </w:rPr>
        <w:t>拓展提升年</w:t>
      </w:r>
      <w:r>
        <w:rPr>
          <w:rFonts w:hint="eastAsia" w:ascii="仿宋" w:hAnsi="仿宋" w:eastAsia="仿宋" w:cs="仿宋"/>
          <w:b w:val="0"/>
          <w:bCs w:val="0"/>
          <w:sz w:val="32"/>
          <w:szCs w:val="32"/>
          <w:highlight w:val="none"/>
          <w:u w:val="none"/>
          <w:lang w:eastAsia="zh-CN"/>
        </w:rPr>
        <w:t>，</w:t>
      </w:r>
      <w:r>
        <w:rPr>
          <w:rFonts w:hint="eastAsia" w:ascii="仿宋" w:hAnsi="仿宋" w:eastAsia="仿宋" w:cs="仿宋"/>
          <w:b w:val="0"/>
          <w:bCs w:val="0"/>
          <w:sz w:val="32"/>
          <w:szCs w:val="32"/>
          <w:highlight w:val="none"/>
          <w:u w:val="none"/>
        </w:rPr>
        <w:t>网络覆盖大幅拓展，处理能力取得突破，融合机制深入推进。建成标准化回收站点30个</w:t>
      </w:r>
      <w:r>
        <w:rPr>
          <w:rFonts w:hint="eastAsia" w:ascii="仿宋" w:hAnsi="仿宋" w:eastAsia="仿宋" w:cs="仿宋"/>
          <w:b w:val="0"/>
          <w:bCs w:val="0"/>
          <w:sz w:val="32"/>
          <w:szCs w:val="32"/>
          <w:highlight w:val="none"/>
          <w:u w:val="none"/>
          <w:lang w:eastAsia="zh-CN"/>
        </w:rPr>
        <w:t>，</w:t>
      </w:r>
      <w:r>
        <w:rPr>
          <w:rFonts w:hint="eastAsia" w:ascii="仿宋" w:hAnsi="仿宋" w:eastAsia="仿宋" w:cs="仿宋"/>
          <w:b w:val="0"/>
          <w:bCs w:val="0"/>
          <w:sz w:val="32"/>
          <w:szCs w:val="32"/>
          <w:highlight w:val="none"/>
          <w:u w:val="none"/>
          <w:lang w:val="en-US" w:eastAsia="zh-CN"/>
        </w:rPr>
        <w:t>2</w:t>
      </w:r>
      <w:r>
        <w:rPr>
          <w:rFonts w:hint="eastAsia" w:ascii="仿宋" w:hAnsi="仿宋" w:eastAsia="仿宋" w:cs="仿宋"/>
          <w:b w:val="0"/>
          <w:bCs w:val="0"/>
          <w:sz w:val="32"/>
          <w:szCs w:val="32"/>
          <w:highlight w:val="none"/>
          <w:u w:val="none"/>
        </w:rPr>
        <w:t>分拣中心试运营</w:t>
      </w:r>
      <w:r>
        <w:rPr>
          <w:rFonts w:hint="eastAsia" w:ascii="仿宋" w:hAnsi="仿宋" w:eastAsia="仿宋" w:cs="仿宋"/>
          <w:b w:val="0"/>
          <w:bCs w:val="0"/>
          <w:sz w:val="32"/>
          <w:szCs w:val="32"/>
          <w:highlight w:val="none"/>
          <w:u w:val="none"/>
          <w:lang w:eastAsia="zh-CN"/>
        </w:rPr>
        <w:t>，</w:t>
      </w:r>
      <w:r>
        <w:rPr>
          <w:rFonts w:hint="eastAsia" w:ascii="仿宋" w:hAnsi="仿宋" w:eastAsia="仿宋" w:cs="仿宋"/>
          <w:b w:val="0"/>
          <w:bCs w:val="0"/>
          <w:sz w:val="32"/>
          <w:szCs w:val="32"/>
          <w:highlight w:val="none"/>
          <w:u w:val="none"/>
        </w:rPr>
        <w:t>启动循环经济园区规划。</w:t>
      </w:r>
    </w:p>
    <w:p w14:paraId="01EFA8AD">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 w:hAnsi="仿宋" w:eastAsia="仿宋" w:cs="仿宋"/>
          <w:b w:val="0"/>
          <w:bCs w:val="0"/>
          <w:sz w:val="32"/>
          <w:szCs w:val="32"/>
          <w:highlight w:val="none"/>
          <w:u w:val="none"/>
        </w:rPr>
      </w:pPr>
      <w:r>
        <w:rPr>
          <w:rFonts w:hint="eastAsia" w:ascii="仿宋" w:hAnsi="仿宋" w:eastAsia="仿宋" w:cs="仿宋"/>
          <w:b w:val="0"/>
          <w:bCs w:val="0"/>
          <w:sz w:val="32"/>
          <w:szCs w:val="32"/>
          <w:highlight w:val="none"/>
          <w:u w:val="none"/>
        </w:rPr>
        <w:t>2029年</w:t>
      </w:r>
      <w:r>
        <w:rPr>
          <w:rFonts w:hint="eastAsia" w:ascii="仿宋" w:hAnsi="仿宋" w:eastAsia="仿宋" w:cs="仿宋"/>
          <w:b w:val="0"/>
          <w:bCs w:val="0"/>
          <w:sz w:val="32"/>
          <w:szCs w:val="32"/>
          <w:highlight w:val="none"/>
          <w:u w:val="none"/>
          <w:lang w:eastAsia="zh-CN"/>
        </w:rPr>
        <w:t>：</w:t>
      </w:r>
      <w:r>
        <w:rPr>
          <w:rFonts w:hint="eastAsia" w:ascii="仿宋" w:hAnsi="仿宋" w:eastAsia="仿宋" w:cs="仿宋"/>
          <w:b w:val="0"/>
          <w:bCs w:val="0"/>
          <w:sz w:val="32"/>
          <w:szCs w:val="32"/>
          <w:highlight w:val="none"/>
          <w:u w:val="none"/>
        </w:rPr>
        <w:t>深化攻坚年</w:t>
      </w:r>
      <w:r>
        <w:rPr>
          <w:rFonts w:hint="eastAsia" w:ascii="仿宋" w:hAnsi="仿宋" w:eastAsia="仿宋" w:cs="仿宋"/>
          <w:b w:val="0"/>
          <w:bCs w:val="0"/>
          <w:sz w:val="32"/>
          <w:szCs w:val="32"/>
          <w:highlight w:val="none"/>
          <w:u w:val="none"/>
          <w:lang w:eastAsia="zh-CN"/>
        </w:rPr>
        <w:t>，</w:t>
      </w:r>
      <w:r>
        <w:rPr>
          <w:rFonts w:hint="eastAsia" w:ascii="仿宋" w:hAnsi="仿宋" w:eastAsia="仿宋" w:cs="仿宋"/>
          <w:b w:val="0"/>
          <w:bCs w:val="0"/>
          <w:sz w:val="32"/>
          <w:szCs w:val="32"/>
          <w:highlight w:val="none"/>
          <w:u w:val="none"/>
        </w:rPr>
        <w:t>体系主体功能基本建成，产业联动增强，数字化全面赋能。建成标准化回收站点42个</w:t>
      </w:r>
      <w:r>
        <w:rPr>
          <w:rFonts w:hint="eastAsia" w:ascii="仿宋" w:hAnsi="仿宋" w:eastAsia="仿宋" w:cs="仿宋"/>
          <w:b w:val="0"/>
          <w:bCs w:val="0"/>
          <w:sz w:val="32"/>
          <w:szCs w:val="32"/>
          <w:highlight w:val="none"/>
          <w:u w:val="none"/>
          <w:lang w:eastAsia="zh-CN"/>
        </w:rPr>
        <w:t>，</w:t>
      </w:r>
      <w:r>
        <w:rPr>
          <w:rFonts w:hint="eastAsia" w:ascii="仿宋" w:hAnsi="仿宋" w:eastAsia="仿宋" w:cs="仿宋"/>
          <w:b w:val="0"/>
          <w:bCs w:val="0"/>
          <w:sz w:val="32"/>
          <w:szCs w:val="32"/>
          <w:highlight w:val="none"/>
          <w:u w:val="none"/>
        </w:rPr>
        <w:t>建成专业型分拣中心1个</w:t>
      </w:r>
      <w:r>
        <w:rPr>
          <w:rFonts w:hint="eastAsia" w:ascii="仿宋" w:hAnsi="仿宋" w:eastAsia="仿宋" w:cs="仿宋"/>
          <w:b w:val="0"/>
          <w:bCs w:val="0"/>
          <w:sz w:val="32"/>
          <w:szCs w:val="32"/>
          <w:highlight w:val="none"/>
          <w:u w:val="none"/>
          <w:lang w:eastAsia="zh-CN"/>
        </w:rPr>
        <w:t>，</w:t>
      </w:r>
      <w:r>
        <w:rPr>
          <w:rFonts w:hint="eastAsia" w:ascii="仿宋" w:hAnsi="仿宋" w:eastAsia="仿宋" w:cs="仿宋"/>
          <w:b w:val="0"/>
          <w:bCs w:val="0"/>
          <w:sz w:val="32"/>
          <w:szCs w:val="32"/>
          <w:highlight w:val="none"/>
          <w:u w:val="none"/>
        </w:rPr>
        <w:t>累计引进</w:t>
      </w:r>
      <w:r>
        <w:rPr>
          <w:rFonts w:hint="eastAsia" w:ascii="仿宋" w:hAnsi="仿宋" w:eastAsia="仿宋" w:cs="仿宋"/>
          <w:b w:val="0"/>
          <w:bCs w:val="0"/>
          <w:sz w:val="32"/>
          <w:szCs w:val="32"/>
          <w:highlight w:val="none"/>
          <w:u w:val="none"/>
          <w:lang w:eastAsia="zh-CN"/>
        </w:rPr>
        <w:t>、</w:t>
      </w:r>
      <w:r>
        <w:rPr>
          <w:rFonts w:hint="eastAsia" w:ascii="仿宋" w:hAnsi="仿宋" w:eastAsia="仿宋" w:cs="仿宋"/>
          <w:b w:val="0"/>
          <w:bCs w:val="0"/>
          <w:sz w:val="32"/>
          <w:szCs w:val="32"/>
          <w:highlight w:val="none"/>
          <w:u w:val="none"/>
        </w:rPr>
        <w:t>培育利废企业4家。</w:t>
      </w:r>
    </w:p>
    <w:p w14:paraId="486A7B40">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 w:hAnsi="仿宋" w:eastAsia="仿宋" w:cs="仿宋"/>
          <w:b w:val="0"/>
          <w:bCs w:val="0"/>
          <w:sz w:val="32"/>
          <w:szCs w:val="32"/>
          <w:highlight w:val="none"/>
          <w:u w:val="none"/>
        </w:rPr>
      </w:pPr>
      <w:r>
        <w:rPr>
          <w:rFonts w:hint="eastAsia" w:ascii="仿宋" w:hAnsi="仿宋" w:eastAsia="仿宋" w:cs="仿宋"/>
          <w:b w:val="0"/>
          <w:bCs w:val="0"/>
          <w:sz w:val="32"/>
          <w:szCs w:val="32"/>
          <w:highlight w:val="none"/>
          <w:u w:val="none"/>
        </w:rPr>
        <w:t>2030年</w:t>
      </w:r>
      <w:r>
        <w:rPr>
          <w:rFonts w:hint="eastAsia" w:ascii="仿宋" w:hAnsi="仿宋" w:eastAsia="仿宋" w:cs="仿宋"/>
          <w:b w:val="0"/>
          <w:bCs w:val="0"/>
          <w:sz w:val="32"/>
          <w:szCs w:val="32"/>
          <w:highlight w:val="none"/>
          <w:u w:val="none"/>
          <w:lang w:eastAsia="zh-CN"/>
        </w:rPr>
        <w:t>：</w:t>
      </w:r>
      <w:r>
        <w:rPr>
          <w:rFonts w:hint="eastAsia" w:ascii="仿宋" w:hAnsi="仿宋" w:eastAsia="仿宋" w:cs="仿宋"/>
          <w:b w:val="0"/>
          <w:bCs w:val="0"/>
          <w:sz w:val="32"/>
          <w:szCs w:val="32"/>
          <w:highlight w:val="none"/>
          <w:u w:val="none"/>
        </w:rPr>
        <w:t>全面达标年</w:t>
      </w:r>
      <w:r>
        <w:rPr>
          <w:rFonts w:hint="eastAsia" w:ascii="仿宋" w:hAnsi="仿宋" w:eastAsia="仿宋" w:cs="仿宋"/>
          <w:b w:val="0"/>
          <w:bCs w:val="0"/>
          <w:sz w:val="32"/>
          <w:szCs w:val="32"/>
          <w:highlight w:val="none"/>
          <w:u w:val="none"/>
          <w:lang w:eastAsia="zh-CN"/>
        </w:rPr>
        <w:t>，</w:t>
      </w:r>
      <w:r>
        <w:rPr>
          <w:rFonts w:hint="eastAsia" w:ascii="仿宋" w:hAnsi="仿宋" w:eastAsia="仿宋" w:cs="仿宋"/>
          <w:b w:val="0"/>
          <w:bCs w:val="0"/>
          <w:sz w:val="32"/>
          <w:szCs w:val="32"/>
          <w:highlight w:val="none"/>
          <w:u w:val="none"/>
        </w:rPr>
        <w:t>全面完成规划指标，体系高效稳定运行，形成长效发展机制。建成标准化回收站点50个</w:t>
      </w:r>
      <w:r>
        <w:rPr>
          <w:rFonts w:hint="eastAsia" w:ascii="仿宋" w:hAnsi="仿宋" w:eastAsia="仿宋" w:cs="仿宋"/>
          <w:b w:val="0"/>
          <w:bCs w:val="0"/>
          <w:sz w:val="32"/>
          <w:szCs w:val="32"/>
          <w:highlight w:val="none"/>
          <w:u w:val="none"/>
          <w:lang w:eastAsia="zh-CN"/>
        </w:rPr>
        <w:t>，</w:t>
      </w:r>
      <w:r>
        <w:rPr>
          <w:rFonts w:hint="eastAsia" w:ascii="仿宋" w:hAnsi="仿宋" w:eastAsia="仿宋" w:cs="仿宋"/>
          <w:b w:val="0"/>
          <w:bCs w:val="0"/>
          <w:sz w:val="32"/>
          <w:szCs w:val="32"/>
          <w:highlight w:val="none"/>
          <w:u w:val="none"/>
        </w:rPr>
        <w:t>建成绿色分拣中心3个</w:t>
      </w:r>
      <w:r>
        <w:rPr>
          <w:rFonts w:hint="eastAsia" w:ascii="仿宋" w:hAnsi="仿宋" w:eastAsia="仿宋" w:cs="仿宋"/>
          <w:b w:val="0"/>
          <w:bCs w:val="0"/>
          <w:sz w:val="32"/>
          <w:szCs w:val="32"/>
          <w:highlight w:val="none"/>
          <w:u w:val="none"/>
          <w:lang w:eastAsia="zh-CN"/>
        </w:rPr>
        <w:t>，</w:t>
      </w:r>
      <w:r>
        <w:rPr>
          <w:rFonts w:hint="eastAsia" w:ascii="仿宋" w:hAnsi="仿宋" w:eastAsia="仿宋" w:cs="仿宋"/>
          <w:b w:val="0"/>
          <w:bCs w:val="0"/>
          <w:sz w:val="32"/>
          <w:szCs w:val="32"/>
          <w:highlight w:val="none"/>
          <w:u w:val="none"/>
        </w:rPr>
        <w:t>建成循环经济园区1个。</w:t>
      </w:r>
    </w:p>
    <w:p w14:paraId="5DD2C89F">
      <w:pPr>
        <w:pStyle w:val="4"/>
        <w:bidi w:val="0"/>
        <w:rPr>
          <w:rFonts w:hint="eastAsia"/>
        </w:rPr>
      </w:pPr>
      <w:bookmarkStart w:id="46" w:name="_Toc9682"/>
      <w:r>
        <w:rPr>
          <w:rFonts w:hint="eastAsia"/>
          <w:lang w:eastAsia="zh-CN"/>
        </w:rPr>
        <w:t>（</w:t>
      </w:r>
      <w:r>
        <w:rPr>
          <w:rFonts w:hint="eastAsia"/>
          <w:lang w:val="en-US" w:eastAsia="zh-CN"/>
        </w:rPr>
        <w:t>三</w:t>
      </w:r>
      <w:r>
        <w:rPr>
          <w:rFonts w:hint="eastAsia"/>
          <w:lang w:eastAsia="zh-CN"/>
        </w:rPr>
        <w:t>）</w:t>
      </w:r>
      <w:r>
        <w:rPr>
          <w:rFonts w:hint="eastAsia"/>
          <w:lang w:val="en-US" w:eastAsia="zh-CN"/>
        </w:rPr>
        <w:t>具体</w:t>
      </w:r>
      <w:r>
        <w:rPr>
          <w:rFonts w:hint="eastAsia"/>
        </w:rPr>
        <w:t>举措</w:t>
      </w:r>
      <w:bookmarkEnd w:id="46"/>
    </w:p>
    <w:p w14:paraId="0ED28A47">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auto"/>
        <w:rPr>
          <w:rFonts w:hint="eastAsia" w:ascii="仿宋" w:hAnsi="仿宋" w:eastAsia="仿宋" w:cs="仿宋"/>
          <w:b/>
          <w:bCs/>
          <w:sz w:val="32"/>
          <w:szCs w:val="32"/>
          <w:highlight w:val="none"/>
          <w:u w:val="none"/>
        </w:rPr>
      </w:pPr>
      <w:r>
        <w:rPr>
          <w:rFonts w:hint="eastAsia" w:ascii="仿宋" w:hAnsi="仿宋" w:eastAsia="仿宋" w:cs="仿宋"/>
          <w:b/>
          <w:bCs/>
          <w:sz w:val="32"/>
          <w:szCs w:val="32"/>
          <w:highlight w:val="none"/>
          <w:u w:val="none"/>
          <w:lang w:val="en-US" w:eastAsia="zh-CN"/>
        </w:rPr>
        <w:t>1.</w:t>
      </w:r>
      <w:r>
        <w:rPr>
          <w:rFonts w:hint="eastAsia" w:ascii="仿宋" w:hAnsi="仿宋" w:eastAsia="仿宋" w:cs="仿宋"/>
          <w:b/>
          <w:bCs/>
          <w:sz w:val="32"/>
          <w:szCs w:val="32"/>
          <w:highlight w:val="none"/>
          <w:u w:val="none"/>
        </w:rPr>
        <w:t>回收网络体系建设</w:t>
      </w:r>
    </w:p>
    <w:p w14:paraId="0C46CB77">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auto"/>
        <w:rPr>
          <w:rFonts w:hint="eastAsia" w:ascii="仿宋" w:hAnsi="仿宋" w:eastAsia="仿宋" w:cs="仿宋"/>
          <w:b w:val="0"/>
          <w:bCs w:val="0"/>
          <w:sz w:val="32"/>
          <w:szCs w:val="32"/>
          <w:highlight w:val="none"/>
          <w:u w:val="none"/>
        </w:rPr>
      </w:pPr>
      <w:r>
        <w:rPr>
          <w:rFonts w:hint="eastAsia" w:ascii="仿宋" w:hAnsi="仿宋" w:eastAsia="仿宋" w:cs="仿宋"/>
          <w:b/>
          <w:bCs/>
          <w:sz w:val="32"/>
          <w:szCs w:val="32"/>
          <w:highlight w:val="none"/>
          <w:u w:val="none"/>
        </w:rPr>
        <w:t>标准化回收站点建设</w:t>
      </w:r>
      <w:r>
        <w:rPr>
          <w:rFonts w:hint="eastAsia" w:ascii="仿宋" w:hAnsi="仿宋" w:eastAsia="仿宋" w:cs="仿宋"/>
          <w:b/>
          <w:bCs/>
          <w:sz w:val="32"/>
          <w:szCs w:val="32"/>
          <w:highlight w:val="none"/>
          <w:u w:val="none"/>
          <w:lang w:eastAsia="zh-CN"/>
        </w:rPr>
        <w:t>。</w:t>
      </w:r>
      <w:r>
        <w:rPr>
          <w:rFonts w:hint="eastAsia" w:ascii="仿宋" w:hAnsi="仿宋" w:eastAsia="仿宋" w:cs="仿宋"/>
          <w:b w:val="0"/>
          <w:bCs w:val="0"/>
          <w:sz w:val="32"/>
          <w:szCs w:val="32"/>
          <w:highlight w:val="none"/>
          <w:u w:val="none"/>
        </w:rPr>
        <w:t>按照“六统一”（统一规划、统一标识、统一着装、统一价格、统一计量、统一管理）标准，分年度新建或改造标准化规范化回收站点，优先覆盖中心城区、重点乡镇及街道，逐步向全域拓展。</w:t>
      </w:r>
    </w:p>
    <w:p w14:paraId="4A534D44">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auto"/>
        <w:rPr>
          <w:rFonts w:hint="eastAsia" w:ascii="仿宋" w:hAnsi="仿宋" w:eastAsia="仿宋" w:cs="仿宋"/>
          <w:b w:val="0"/>
          <w:bCs w:val="0"/>
          <w:sz w:val="32"/>
          <w:szCs w:val="32"/>
          <w:highlight w:val="none"/>
          <w:u w:val="none"/>
        </w:rPr>
      </w:pPr>
      <w:r>
        <w:rPr>
          <w:rFonts w:hint="eastAsia" w:ascii="仿宋" w:hAnsi="仿宋" w:eastAsia="仿宋" w:cs="仿宋"/>
          <w:b/>
          <w:bCs/>
          <w:sz w:val="32"/>
          <w:szCs w:val="32"/>
          <w:highlight w:val="none"/>
          <w:u w:val="none"/>
        </w:rPr>
        <w:t>“两网融合”模式推广</w:t>
      </w:r>
      <w:r>
        <w:rPr>
          <w:rFonts w:hint="eastAsia" w:ascii="仿宋" w:hAnsi="仿宋" w:eastAsia="仿宋" w:cs="仿宋"/>
          <w:b/>
          <w:bCs/>
          <w:sz w:val="32"/>
          <w:szCs w:val="32"/>
          <w:highlight w:val="none"/>
          <w:u w:val="none"/>
          <w:lang w:eastAsia="zh-CN"/>
        </w:rPr>
        <w:t>。</w:t>
      </w:r>
      <w:r>
        <w:rPr>
          <w:rFonts w:hint="eastAsia" w:ascii="仿宋" w:hAnsi="仿宋" w:eastAsia="仿宋" w:cs="仿宋"/>
          <w:b w:val="0"/>
          <w:bCs w:val="0"/>
          <w:sz w:val="32"/>
          <w:szCs w:val="32"/>
          <w:highlight w:val="none"/>
          <w:u w:val="none"/>
        </w:rPr>
        <w:t>建设区级“两网融合”示范点，探索设施共建、人员共享、车辆协同作业模式。逐步扩大融合范围，实现环卫清运与再生资源回收在站点、车辆、人员、数据等方面的有效衔接，重点提升低值可回收物回收效率。</w:t>
      </w:r>
    </w:p>
    <w:p w14:paraId="3885AB0D">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auto"/>
        <w:rPr>
          <w:rFonts w:hint="eastAsia" w:ascii="仿宋" w:hAnsi="仿宋" w:eastAsia="仿宋" w:cs="仿宋"/>
          <w:b w:val="0"/>
          <w:bCs w:val="0"/>
          <w:sz w:val="32"/>
          <w:szCs w:val="32"/>
          <w:highlight w:val="none"/>
          <w:u w:val="none"/>
        </w:rPr>
      </w:pPr>
      <w:r>
        <w:rPr>
          <w:rFonts w:hint="eastAsia" w:ascii="仿宋" w:hAnsi="仿宋" w:eastAsia="仿宋" w:cs="仿宋"/>
          <w:b/>
          <w:bCs/>
          <w:sz w:val="32"/>
          <w:szCs w:val="32"/>
          <w:highlight w:val="none"/>
          <w:u w:val="none"/>
        </w:rPr>
        <w:t>多元回收模式创新</w:t>
      </w:r>
      <w:r>
        <w:rPr>
          <w:rFonts w:hint="eastAsia" w:ascii="仿宋" w:hAnsi="仿宋" w:eastAsia="仿宋" w:cs="仿宋"/>
          <w:b/>
          <w:bCs/>
          <w:sz w:val="32"/>
          <w:szCs w:val="32"/>
          <w:highlight w:val="none"/>
          <w:u w:val="none"/>
          <w:lang w:eastAsia="zh-CN"/>
        </w:rPr>
        <w:t>。</w:t>
      </w:r>
      <w:r>
        <w:rPr>
          <w:rFonts w:hint="eastAsia" w:ascii="仿宋" w:hAnsi="仿宋" w:eastAsia="仿宋" w:cs="仿宋"/>
          <w:b w:val="0"/>
          <w:bCs w:val="0"/>
          <w:sz w:val="32"/>
          <w:szCs w:val="32"/>
          <w:highlight w:val="none"/>
          <w:u w:val="none"/>
        </w:rPr>
        <w:t>推广“以车代库”、预约回收等灵活服务。在条件成熟的社区、公共机构逐步布局智能回收箱，提升回收便捷性与居民参与度。</w:t>
      </w:r>
    </w:p>
    <w:p w14:paraId="338EEF47">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auto"/>
        <w:rPr>
          <w:rFonts w:hint="eastAsia" w:ascii="仿宋" w:hAnsi="仿宋" w:eastAsia="仿宋" w:cs="仿宋"/>
          <w:b/>
          <w:bCs/>
          <w:sz w:val="32"/>
          <w:szCs w:val="32"/>
          <w:highlight w:val="none"/>
          <w:u w:val="none"/>
        </w:rPr>
      </w:pPr>
      <w:r>
        <w:rPr>
          <w:rFonts w:hint="eastAsia" w:ascii="仿宋" w:hAnsi="仿宋" w:eastAsia="仿宋" w:cs="仿宋"/>
          <w:b/>
          <w:bCs/>
          <w:sz w:val="32"/>
          <w:szCs w:val="32"/>
          <w:highlight w:val="none"/>
          <w:u w:val="none"/>
          <w:lang w:val="en-US" w:eastAsia="zh-CN"/>
        </w:rPr>
        <w:t>2.</w:t>
      </w:r>
      <w:r>
        <w:rPr>
          <w:rFonts w:hint="eastAsia" w:ascii="仿宋" w:hAnsi="仿宋" w:eastAsia="仿宋" w:cs="仿宋"/>
          <w:b/>
          <w:bCs/>
          <w:sz w:val="32"/>
          <w:szCs w:val="32"/>
          <w:highlight w:val="none"/>
          <w:u w:val="none"/>
        </w:rPr>
        <w:t>绿色分拣与循环经济产业培育</w:t>
      </w:r>
    </w:p>
    <w:p w14:paraId="21600916">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auto"/>
        <w:rPr>
          <w:rFonts w:hint="eastAsia" w:ascii="仿宋" w:hAnsi="仿宋" w:eastAsia="仿宋" w:cs="仿宋"/>
          <w:b w:val="0"/>
          <w:bCs w:val="0"/>
          <w:sz w:val="32"/>
          <w:szCs w:val="32"/>
          <w:highlight w:val="none"/>
          <w:u w:val="none"/>
        </w:rPr>
      </w:pPr>
      <w:r>
        <w:rPr>
          <w:rFonts w:hint="eastAsia" w:ascii="仿宋" w:hAnsi="仿宋" w:eastAsia="仿宋" w:cs="仿宋"/>
          <w:b/>
          <w:bCs/>
          <w:sz w:val="32"/>
          <w:szCs w:val="32"/>
          <w:highlight w:val="none"/>
          <w:u w:val="none"/>
        </w:rPr>
        <w:t>绿色分拣中心建设</w:t>
      </w:r>
      <w:r>
        <w:rPr>
          <w:rFonts w:hint="eastAsia" w:ascii="仿宋" w:hAnsi="仿宋" w:eastAsia="仿宋" w:cs="仿宋"/>
          <w:b/>
          <w:bCs/>
          <w:sz w:val="32"/>
          <w:szCs w:val="32"/>
          <w:highlight w:val="none"/>
          <w:u w:val="none"/>
          <w:lang w:eastAsia="zh-CN"/>
        </w:rPr>
        <w:t>。</w:t>
      </w:r>
      <w:r>
        <w:rPr>
          <w:rFonts w:hint="eastAsia" w:ascii="仿宋" w:hAnsi="仿宋" w:eastAsia="仿宋" w:cs="仿宋"/>
          <w:b w:val="0"/>
          <w:bCs w:val="0"/>
          <w:sz w:val="32"/>
          <w:szCs w:val="32"/>
          <w:highlight w:val="none"/>
          <w:u w:val="none"/>
        </w:rPr>
        <w:t>规划建设</w:t>
      </w:r>
      <w:r>
        <w:rPr>
          <w:rFonts w:hint="eastAsia" w:ascii="仿宋" w:hAnsi="仿宋" w:eastAsia="仿宋" w:cs="仿宋"/>
          <w:b w:val="0"/>
          <w:bCs w:val="0"/>
          <w:sz w:val="32"/>
          <w:szCs w:val="32"/>
          <w:highlight w:val="none"/>
          <w:u w:val="none"/>
          <w:lang w:eastAsia="zh-CN"/>
        </w:rPr>
        <w:t>或改造升级</w:t>
      </w:r>
      <w:r>
        <w:rPr>
          <w:rFonts w:hint="eastAsia" w:ascii="仿宋" w:hAnsi="仿宋" w:eastAsia="仿宋" w:cs="仿宋"/>
          <w:b w:val="0"/>
          <w:bCs w:val="0"/>
          <w:sz w:val="32"/>
          <w:szCs w:val="32"/>
          <w:highlight w:val="none"/>
          <w:u w:val="none"/>
        </w:rPr>
        <w:t>综合性、专业型（如废旧家电、</w:t>
      </w:r>
      <w:r>
        <w:rPr>
          <w:rFonts w:hint="eastAsia" w:ascii="仿宋" w:hAnsi="仿宋" w:eastAsia="仿宋" w:cs="仿宋"/>
          <w:b w:val="0"/>
          <w:bCs w:val="0"/>
          <w:sz w:val="32"/>
          <w:szCs w:val="32"/>
          <w:highlight w:val="none"/>
          <w:u w:val="none"/>
          <w:lang w:eastAsia="zh-CN"/>
        </w:rPr>
        <w:t>废塑料</w:t>
      </w:r>
      <w:r>
        <w:rPr>
          <w:rFonts w:hint="eastAsia" w:ascii="仿宋" w:hAnsi="仿宋" w:eastAsia="仿宋" w:cs="仿宋"/>
          <w:b w:val="0"/>
          <w:bCs w:val="0"/>
          <w:sz w:val="32"/>
          <w:szCs w:val="32"/>
          <w:highlight w:val="none"/>
          <w:u w:val="none"/>
        </w:rPr>
        <w:t>等）绿色分拣中心，高标准完成选址、环评、设计及建设，确保环保达标、工艺先进、运营高效。</w:t>
      </w:r>
    </w:p>
    <w:p w14:paraId="3CBECC31">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auto"/>
        <w:rPr>
          <w:rFonts w:hint="eastAsia" w:ascii="仿宋" w:hAnsi="仿宋" w:eastAsia="仿宋" w:cs="仿宋"/>
          <w:b w:val="0"/>
          <w:bCs w:val="0"/>
          <w:sz w:val="32"/>
          <w:szCs w:val="32"/>
          <w:highlight w:val="none"/>
          <w:u w:val="none"/>
        </w:rPr>
      </w:pPr>
      <w:r>
        <w:rPr>
          <w:rFonts w:hint="eastAsia" w:ascii="仿宋" w:hAnsi="仿宋" w:eastAsia="仿宋" w:cs="仿宋"/>
          <w:b/>
          <w:bCs/>
          <w:sz w:val="32"/>
          <w:szCs w:val="32"/>
          <w:highlight w:val="none"/>
          <w:u w:val="none"/>
        </w:rPr>
        <w:t>循环经济园区发展</w:t>
      </w:r>
      <w:r>
        <w:rPr>
          <w:rFonts w:hint="eastAsia" w:ascii="仿宋" w:hAnsi="仿宋" w:eastAsia="仿宋" w:cs="仿宋"/>
          <w:b/>
          <w:bCs/>
          <w:sz w:val="32"/>
          <w:szCs w:val="32"/>
          <w:highlight w:val="none"/>
          <w:u w:val="none"/>
          <w:lang w:eastAsia="zh-CN"/>
        </w:rPr>
        <w:t>。</w:t>
      </w:r>
      <w:r>
        <w:rPr>
          <w:rFonts w:hint="eastAsia" w:ascii="仿宋" w:hAnsi="仿宋" w:eastAsia="仿宋" w:cs="仿宋"/>
          <w:b w:val="0"/>
          <w:bCs w:val="0"/>
          <w:sz w:val="32"/>
          <w:szCs w:val="32"/>
          <w:highlight w:val="none"/>
          <w:u w:val="none"/>
        </w:rPr>
        <w:t>启动并推进再生资源循环经济园区规划建设，完善基础设施，吸引利废企业入驻，推动再生资源精深加工和产业链延伸，形成产业集聚效应。</w:t>
      </w:r>
    </w:p>
    <w:p w14:paraId="23EE27AA">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auto"/>
        <w:rPr>
          <w:rFonts w:hint="eastAsia" w:ascii="仿宋" w:hAnsi="仿宋" w:eastAsia="仿宋" w:cs="仿宋"/>
          <w:b w:val="0"/>
          <w:bCs w:val="0"/>
          <w:sz w:val="32"/>
          <w:szCs w:val="32"/>
          <w:highlight w:val="none"/>
          <w:u w:val="none"/>
        </w:rPr>
      </w:pPr>
      <w:r>
        <w:rPr>
          <w:rFonts w:hint="eastAsia" w:ascii="仿宋" w:hAnsi="仿宋" w:eastAsia="仿宋" w:cs="仿宋"/>
          <w:b/>
          <w:bCs/>
          <w:sz w:val="32"/>
          <w:szCs w:val="32"/>
          <w:highlight w:val="none"/>
          <w:u w:val="none"/>
        </w:rPr>
        <w:t>产业联动与招商</w:t>
      </w:r>
      <w:r>
        <w:rPr>
          <w:rFonts w:hint="eastAsia" w:ascii="仿宋" w:hAnsi="仿宋" w:eastAsia="仿宋" w:cs="仿宋"/>
          <w:b/>
          <w:bCs/>
          <w:sz w:val="32"/>
          <w:szCs w:val="32"/>
          <w:highlight w:val="none"/>
          <w:u w:val="none"/>
          <w:lang w:eastAsia="zh-CN"/>
        </w:rPr>
        <w:t>。</w:t>
      </w:r>
      <w:r>
        <w:rPr>
          <w:rFonts w:hint="eastAsia" w:ascii="仿宋" w:hAnsi="仿宋" w:eastAsia="仿宋" w:cs="仿宋"/>
          <w:b w:val="0"/>
          <w:bCs w:val="0"/>
          <w:sz w:val="32"/>
          <w:szCs w:val="32"/>
          <w:highlight w:val="none"/>
          <w:u w:val="none"/>
        </w:rPr>
        <w:t>主动对接重点利废企业需求，建立长期合作关系。积极引进和培育一批技术先进、带动力强的利废利用企业，谋划和推动一批循环经济发展项目落地。</w:t>
      </w:r>
    </w:p>
    <w:p w14:paraId="5D556AC5">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auto"/>
        <w:rPr>
          <w:rFonts w:hint="eastAsia" w:ascii="仿宋" w:hAnsi="仿宋" w:eastAsia="仿宋" w:cs="仿宋"/>
          <w:b/>
          <w:bCs/>
          <w:sz w:val="32"/>
          <w:szCs w:val="32"/>
          <w:highlight w:val="none"/>
          <w:u w:val="none"/>
        </w:rPr>
      </w:pPr>
      <w:r>
        <w:rPr>
          <w:rFonts w:hint="eastAsia" w:ascii="仿宋" w:hAnsi="仿宋" w:eastAsia="仿宋" w:cs="仿宋"/>
          <w:b/>
          <w:bCs/>
          <w:sz w:val="32"/>
          <w:szCs w:val="32"/>
          <w:highlight w:val="none"/>
          <w:u w:val="none"/>
          <w:lang w:val="en-US" w:eastAsia="zh-CN"/>
        </w:rPr>
        <w:t>3.</w:t>
      </w:r>
      <w:r>
        <w:rPr>
          <w:rFonts w:hint="eastAsia" w:ascii="仿宋" w:hAnsi="仿宋" w:eastAsia="仿宋" w:cs="仿宋"/>
          <w:b/>
          <w:bCs/>
          <w:sz w:val="32"/>
          <w:szCs w:val="32"/>
          <w:highlight w:val="none"/>
          <w:u w:val="none"/>
        </w:rPr>
        <w:t>数字化智慧平台建设</w:t>
      </w:r>
    </w:p>
    <w:p w14:paraId="5CFAADC0">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auto"/>
        <w:rPr>
          <w:rFonts w:hint="eastAsia" w:ascii="仿宋" w:hAnsi="仿宋" w:eastAsia="仿宋" w:cs="仿宋"/>
          <w:b w:val="0"/>
          <w:bCs w:val="0"/>
          <w:sz w:val="32"/>
          <w:szCs w:val="32"/>
          <w:highlight w:val="none"/>
          <w:u w:val="none"/>
        </w:rPr>
      </w:pPr>
      <w:r>
        <w:rPr>
          <w:rFonts w:hint="eastAsia" w:ascii="仿宋" w:hAnsi="仿宋" w:eastAsia="仿宋" w:cs="仿宋"/>
          <w:b/>
          <w:bCs/>
          <w:sz w:val="32"/>
          <w:szCs w:val="32"/>
          <w:highlight w:val="none"/>
          <w:u w:val="none"/>
        </w:rPr>
        <w:t>市级平台开发与部署</w:t>
      </w:r>
      <w:r>
        <w:rPr>
          <w:rFonts w:hint="eastAsia" w:ascii="仿宋" w:hAnsi="仿宋" w:eastAsia="仿宋" w:cs="仿宋"/>
          <w:b/>
          <w:bCs/>
          <w:sz w:val="32"/>
          <w:szCs w:val="32"/>
          <w:highlight w:val="none"/>
          <w:u w:val="none"/>
          <w:lang w:eastAsia="zh-CN"/>
        </w:rPr>
        <w:t>。</w:t>
      </w:r>
      <w:r>
        <w:rPr>
          <w:rFonts w:hint="eastAsia" w:ascii="仿宋" w:hAnsi="仿宋" w:eastAsia="仿宋" w:cs="仿宋"/>
          <w:b w:val="0"/>
          <w:bCs w:val="0"/>
          <w:sz w:val="32"/>
          <w:szCs w:val="32"/>
          <w:highlight w:val="none"/>
          <w:u w:val="none"/>
        </w:rPr>
        <w:t>建设全市统一的再生资源回收利用数字化服务平台，集成“一键回收”、数据统计、智能监管、物流调度、信息发布等功能，并实现与省级平台数据对接。</w:t>
      </w:r>
    </w:p>
    <w:p w14:paraId="7286C3D8">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auto"/>
        <w:rPr>
          <w:rFonts w:hint="eastAsia" w:ascii="仿宋" w:hAnsi="仿宋" w:eastAsia="仿宋" w:cs="仿宋"/>
          <w:b w:val="0"/>
          <w:bCs w:val="0"/>
          <w:sz w:val="32"/>
          <w:szCs w:val="32"/>
          <w:highlight w:val="none"/>
          <w:u w:val="none"/>
        </w:rPr>
      </w:pPr>
      <w:r>
        <w:rPr>
          <w:rFonts w:hint="eastAsia" w:ascii="仿宋" w:hAnsi="仿宋" w:eastAsia="仿宋" w:cs="仿宋"/>
          <w:b/>
          <w:bCs/>
          <w:sz w:val="32"/>
          <w:szCs w:val="32"/>
          <w:highlight w:val="none"/>
          <w:u w:val="none"/>
        </w:rPr>
        <w:t>区级子平台全覆盖</w:t>
      </w:r>
      <w:r>
        <w:rPr>
          <w:rFonts w:hint="eastAsia" w:ascii="仿宋" w:hAnsi="仿宋" w:eastAsia="仿宋" w:cs="仿宋"/>
          <w:b/>
          <w:bCs/>
          <w:sz w:val="32"/>
          <w:szCs w:val="32"/>
          <w:highlight w:val="none"/>
          <w:u w:val="none"/>
          <w:lang w:eastAsia="zh-CN"/>
        </w:rPr>
        <w:t>。</w:t>
      </w:r>
      <w:r>
        <w:rPr>
          <w:rFonts w:hint="eastAsia" w:ascii="仿宋" w:hAnsi="仿宋" w:eastAsia="仿宋" w:cs="仿宋"/>
          <w:b w:val="0"/>
          <w:bCs w:val="0"/>
          <w:sz w:val="32"/>
          <w:szCs w:val="32"/>
          <w:highlight w:val="none"/>
          <w:u w:val="none"/>
        </w:rPr>
        <w:t>逐步在各区部署数字化子平台，实现市、区两级数据互联互通和业务协同管理。</w:t>
      </w:r>
    </w:p>
    <w:p w14:paraId="35B16F43">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auto"/>
        <w:rPr>
          <w:rFonts w:hint="eastAsia" w:ascii="仿宋" w:hAnsi="仿宋" w:eastAsia="仿宋" w:cs="仿宋"/>
          <w:b w:val="0"/>
          <w:bCs w:val="0"/>
          <w:sz w:val="32"/>
          <w:szCs w:val="32"/>
          <w:highlight w:val="none"/>
          <w:u w:val="none"/>
        </w:rPr>
      </w:pPr>
      <w:r>
        <w:rPr>
          <w:rFonts w:hint="eastAsia" w:ascii="仿宋" w:hAnsi="仿宋" w:eastAsia="仿宋" w:cs="仿宋"/>
          <w:b/>
          <w:bCs/>
          <w:sz w:val="32"/>
          <w:szCs w:val="32"/>
          <w:highlight w:val="none"/>
          <w:u w:val="none"/>
        </w:rPr>
        <w:t>平台功能拓展与深化</w:t>
      </w:r>
      <w:r>
        <w:rPr>
          <w:rFonts w:hint="eastAsia" w:ascii="仿宋" w:hAnsi="仿宋" w:eastAsia="仿宋" w:cs="仿宋"/>
          <w:b/>
          <w:bCs/>
          <w:sz w:val="32"/>
          <w:szCs w:val="32"/>
          <w:highlight w:val="none"/>
          <w:u w:val="none"/>
          <w:lang w:eastAsia="zh-CN"/>
        </w:rPr>
        <w:t>。</w:t>
      </w:r>
      <w:r>
        <w:rPr>
          <w:rFonts w:hint="eastAsia" w:ascii="仿宋" w:hAnsi="仿宋" w:eastAsia="仿宋" w:cs="仿宋"/>
          <w:b w:val="0"/>
          <w:bCs w:val="0"/>
          <w:sz w:val="32"/>
          <w:szCs w:val="32"/>
          <w:highlight w:val="none"/>
          <w:u w:val="none"/>
        </w:rPr>
        <w:t>拓展“以旧换新”、二手商品信息发布、原料信息匹配等增值服务模块。运用大数据分析，为政策制定、行业监管、企业经营提供决策支持。</w:t>
      </w:r>
    </w:p>
    <w:p w14:paraId="797E5A4D">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auto"/>
        <w:rPr>
          <w:rFonts w:hint="eastAsia" w:ascii="仿宋" w:hAnsi="仿宋" w:eastAsia="仿宋" w:cs="仿宋"/>
          <w:b/>
          <w:bCs/>
          <w:sz w:val="32"/>
          <w:szCs w:val="32"/>
          <w:highlight w:val="none"/>
          <w:u w:val="none"/>
        </w:rPr>
      </w:pPr>
      <w:r>
        <w:rPr>
          <w:rFonts w:hint="eastAsia" w:ascii="仿宋" w:hAnsi="仿宋" w:eastAsia="仿宋" w:cs="仿宋"/>
          <w:b/>
          <w:bCs/>
          <w:sz w:val="32"/>
          <w:szCs w:val="32"/>
          <w:highlight w:val="none"/>
          <w:u w:val="none"/>
          <w:lang w:val="en-US" w:eastAsia="zh-CN"/>
        </w:rPr>
        <w:t>4.</w:t>
      </w:r>
      <w:r>
        <w:rPr>
          <w:rFonts w:hint="eastAsia" w:ascii="仿宋" w:hAnsi="仿宋" w:eastAsia="仿宋" w:cs="仿宋"/>
          <w:b/>
          <w:bCs/>
          <w:sz w:val="32"/>
          <w:szCs w:val="32"/>
          <w:highlight w:val="none"/>
          <w:u w:val="none"/>
        </w:rPr>
        <w:t>重点品类回收体系建设</w:t>
      </w:r>
    </w:p>
    <w:p w14:paraId="7FC0F580">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auto"/>
        <w:rPr>
          <w:rFonts w:hint="eastAsia" w:ascii="仿宋" w:hAnsi="仿宋" w:eastAsia="仿宋" w:cs="仿宋"/>
          <w:b w:val="0"/>
          <w:bCs w:val="0"/>
          <w:sz w:val="32"/>
          <w:szCs w:val="32"/>
          <w:highlight w:val="none"/>
          <w:u w:val="none"/>
        </w:rPr>
      </w:pPr>
      <w:r>
        <w:rPr>
          <w:rFonts w:hint="eastAsia" w:ascii="仿宋" w:hAnsi="仿宋" w:eastAsia="仿宋" w:cs="仿宋"/>
          <w:b/>
          <w:bCs/>
          <w:sz w:val="32"/>
          <w:szCs w:val="32"/>
          <w:highlight w:val="none"/>
          <w:u w:val="none"/>
        </w:rPr>
        <w:t>建立重点品类专项回收渠道</w:t>
      </w:r>
      <w:r>
        <w:rPr>
          <w:rFonts w:hint="eastAsia" w:ascii="仿宋" w:hAnsi="仿宋" w:eastAsia="仿宋" w:cs="仿宋"/>
          <w:b/>
          <w:bCs/>
          <w:sz w:val="32"/>
          <w:szCs w:val="32"/>
          <w:highlight w:val="none"/>
          <w:u w:val="none"/>
          <w:lang w:eastAsia="zh-CN"/>
        </w:rPr>
        <w:t>。</w:t>
      </w:r>
      <w:r>
        <w:rPr>
          <w:rFonts w:hint="eastAsia" w:ascii="仿宋" w:hAnsi="仿宋" w:eastAsia="仿宋" w:cs="仿宋"/>
          <w:b w:val="0"/>
          <w:bCs w:val="0"/>
          <w:sz w:val="32"/>
          <w:szCs w:val="32"/>
          <w:highlight w:val="none"/>
          <w:u w:val="none"/>
        </w:rPr>
        <w:t>针对废旧家电、废纸、废塑料、废纺等大宗可回收物，建立常态化、规范化的回收流程。组织开展专项回收日活动。</w:t>
      </w:r>
    </w:p>
    <w:p w14:paraId="7039E1F8">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auto"/>
        <w:rPr>
          <w:rFonts w:hint="eastAsia" w:ascii="仿宋" w:hAnsi="仿宋" w:eastAsia="仿宋" w:cs="仿宋"/>
          <w:b w:val="0"/>
          <w:bCs w:val="0"/>
          <w:sz w:val="32"/>
          <w:szCs w:val="32"/>
          <w:highlight w:val="none"/>
          <w:u w:val="none"/>
        </w:rPr>
      </w:pPr>
      <w:r>
        <w:rPr>
          <w:rFonts w:hint="eastAsia" w:ascii="仿宋" w:hAnsi="仿宋" w:eastAsia="仿宋" w:cs="仿宋"/>
          <w:b/>
          <w:bCs/>
          <w:sz w:val="32"/>
          <w:szCs w:val="32"/>
          <w:highlight w:val="none"/>
          <w:u w:val="none"/>
        </w:rPr>
        <w:t>探索新兴品类回收路径</w:t>
      </w:r>
      <w:r>
        <w:rPr>
          <w:rFonts w:hint="eastAsia" w:ascii="仿宋" w:hAnsi="仿宋" w:eastAsia="仿宋" w:cs="仿宋"/>
          <w:b/>
          <w:bCs/>
          <w:sz w:val="32"/>
          <w:szCs w:val="32"/>
          <w:highlight w:val="none"/>
          <w:u w:val="none"/>
          <w:lang w:eastAsia="zh-CN"/>
        </w:rPr>
        <w:t>。</w:t>
      </w:r>
      <w:r>
        <w:rPr>
          <w:rFonts w:hint="eastAsia" w:ascii="仿宋" w:hAnsi="仿宋" w:eastAsia="仿宋" w:cs="仿宋"/>
          <w:b w:val="0"/>
          <w:bCs w:val="0"/>
          <w:sz w:val="32"/>
          <w:szCs w:val="32"/>
          <w:highlight w:val="none"/>
          <w:u w:val="none"/>
        </w:rPr>
        <w:t>稳妥推进电动自行车退役动力电池等新兴废弃物的回收渠道建设试点，防范环境风险。</w:t>
      </w:r>
    </w:p>
    <w:p w14:paraId="7C5DAEED">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auto"/>
        <w:rPr>
          <w:rFonts w:hint="eastAsia" w:ascii="仿宋" w:hAnsi="仿宋" w:eastAsia="仿宋" w:cs="仿宋"/>
          <w:b w:val="0"/>
          <w:bCs w:val="0"/>
          <w:sz w:val="32"/>
          <w:szCs w:val="32"/>
          <w:highlight w:val="none"/>
          <w:u w:val="none"/>
        </w:rPr>
      </w:pPr>
      <w:r>
        <w:rPr>
          <w:rFonts w:hint="eastAsia" w:ascii="仿宋" w:hAnsi="仿宋" w:eastAsia="仿宋" w:cs="仿宋"/>
          <w:b/>
          <w:bCs/>
          <w:sz w:val="32"/>
          <w:szCs w:val="32"/>
          <w:highlight w:val="none"/>
          <w:u w:val="none"/>
        </w:rPr>
        <w:t>健全回收利用标准与规范</w:t>
      </w:r>
      <w:r>
        <w:rPr>
          <w:rFonts w:hint="eastAsia" w:ascii="仿宋" w:hAnsi="仿宋" w:eastAsia="仿宋" w:cs="仿宋"/>
          <w:b/>
          <w:bCs/>
          <w:sz w:val="32"/>
          <w:szCs w:val="32"/>
          <w:highlight w:val="none"/>
          <w:u w:val="none"/>
          <w:lang w:eastAsia="zh-CN"/>
        </w:rPr>
        <w:t>。</w:t>
      </w:r>
      <w:r>
        <w:rPr>
          <w:rFonts w:hint="eastAsia" w:ascii="仿宋" w:hAnsi="仿宋" w:eastAsia="仿宋" w:cs="仿宋"/>
          <w:b w:val="0"/>
          <w:bCs w:val="0"/>
          <w:sz w:val="32"/>
          <w:szCs w:val="32"/>
          <w:highlight w:val="none"/>
          <w:u w:val="none"/>
        </w:rPr>
        <w:t>配合相关部门，完善重点品类回收、运输、分拣、利用的技术标准和管理规范。</w:t>
      </w:r>
    </w:p>
    <w:p w14:paraId="35688537">
      <w:pPr>
        <w:pStyle w:val="2"/>
        <w:rPr>
          <w:rFonts w:hint="eastAsia" w:ascii="仿宋" w:hAnsi="仿宋" w:eastAsia="仿宋" w:cs="仿宋"/>
          <w:b w:val="0"/>
          <w:bCs w:val="0"/>
          <w:sz w:val="32"/>
          <w:szCs w:val="32"/>
          <w:highlight w:val="none"/>
          <w:u w:val="none"/>
        </w:rPr>
      </w:pPr>
    </w:p>
    <w:p w14:paraId="088DB425">
      <w:pPr>
        <w:rPr>
          <w:rFonts w:hint="eastAsia"/>
        </w:rPr>
      </w:pPr>
    </w:p>
    <w:tbl>
      <w:tblPr>
        <w:tblStyle w:val="13"/>
        <w:tblpPr w:leftFromText="180" w:rightFromText="180" w:vertAnchor="text" w:horzAnchor="page" w:tblpX="1816" w:tblpY="162"/>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43BFA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522" w:type="dxa"/>
            <w:noWrap w:val="0"/>
            <w:vAlign w:val="top"/>
          </w:tcPr>
          <w:p w14:paraId="28DDFF41">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default" w:ascii="仿宋_GB2312" w:hAnsi="仿宋_GB2312" w:eastAsia="黑体" w:cs="仿宋_GB2312"/>
                <w:b w:val="0"/>
                <w:bCs w:val="0"/>
                <w:sz w:val="32"/>
                <w:szCs w:val="32"/>
                <w:highlight w:val="none"/>
                <w:u w:val="none"/>
                <w:vertAlign w:val="baseline"/>
                <w:lang w:val="en-US" w:eastAsia="zh-CN"/>
              </w:rPr>
            </w:pPr>
            <w:r>
              <w:rPr>
                <w:rFonts w:hint="eastAsia" w:ascii="黑体" w:hAnsi="黑体" w:eastAsia="黑体" w:cs="黑体"/>
                <w:b w:val="0"/>
                <w:bCs w:val="0"/>
                <w:sz w:val="32"/>
                <w:szCs w:val="32"/>
                <w:highlight w:val="none"/>
                <w:u w:val="none"/>
                <w:vertAlign w:val="baseline"/>
                <w:lang w:val="en-US" w:eastAsia="zh-CN"/>
              </w:rPr>
              <w:t>项目专栏</w:t>
            </w:r>
          </w:p>
        </w:tc>
      </w:tr>
      <w:tr w14:paraId="08A41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trPr>
        <w:tc>
          <w:tcPr>
            <w:tcW w:w="8522" w:type="dxa"/>
            <w:noWrap w:val="0"/>
            <w:vAlign w:val="top"/>
          </w:tcPr>
          <w:p w14:paraId="7191D42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jc w:val="both"/>
              <w:textAlignment w:val="auto"/>
              <w:rPr>
                <w:rFonts w:hint="default" w:ascii="仿宋_GB2312" w:hAnsi="仿宋_GB2312" w:eastAsia="仿宋_GB2312" w:cs="仿宋_GB2312"/>
                <w:b w:val="0"/>
                <w:bCs w:val="0"/>
                <w:snapToGrid w:val="0"/>
                <w:color w:val="auto"/>
                <w:spacing w:val="0"/>
                <w:kern w:val="0"/>
                <w:sz w:val="32"/>
                <w:szCs w:val="32"/>
                <w:highlight w:val="none"/>
                <w:u w:val="none"/>
                <w:lang w:val="en-US" w:eastAsia="zh-CN" w:bidi="ar"/>
              </w:rPr>
            </w:pPr>
            <w:r>
              <w:rPr>
                <w:rFonts w:hint="eastAsia" w:ascii="黑体" w:hAnsi="黑体" w:eastAsia="黑体" w:cs="黑体"/>
                <w:b w:val="0"/>
                <w:bCs w:val="0"/>
                <w:snapToGrid w:val="0"/>
                <w:color w:val="auto"/>
                <w:spacing w:val="0"/>
                <w:kern w:val="0"/>
                <w:sz w:val="32"/>
                <w:szCs w:val="32"/>
                <w:highlight w:val="none"/>
                <w:u w:val="none"/>
                <w:lang w:val="en-US" w:eastAsia="zh-CN" w:bidi="ar"/>
              </w:rPr>
              <w:t>湖北鄂州再生资源体系建设项目：</w:t>
            </w:r>
            <w:r>
              <w:rPr>
                <w:rFonts w:hint="eastAsia" w:ascii="仿宋" w:hAnsi="仿宋" w:eastAsia="仿宋" w:cs="仿宋"/>
                <w:b w:val="0"/>
                <w:bCs w:val="0"/>
                <w:sz w:val="32"/>
                <w:szCs w:val="32"/>
                <w:highlight w:val="none"/>
                <w:u w:val="none"/>
                <w:lang w:val="en-US" w:eastAsia="zh-CN"/>
              </w:rPr>
              <w:t>遵循“全品类、全覆盖、一体化、精确分类、数字化回收处置一条龙”原则，全面推进再生资源回收网点布局优化与标准化分拣中心建设。改造升级现有回收站点，建设具备精细化分拣、智能化管理、绿色化处理能力的数字分拣中心，构建“前端回收—中端分拣—后端利用”一体化循环链条。</w:t>
            </w:r>
          </w:p>
          <w:p w14:paraId="36FB5734">
            <w:pPr>
              <w:pStyle w:val="16"/>
              <w:keepNext w:val="0"/>
              <w:keepLines w:val="0"/>
              <w:pageBreakBefore w:val="0"/>
              <w:widowControl w:val="0"/>
              <w:kinsoku/>
              <w:wordWrap/>
              <w:overflowPunct/>
              <w:topLinePunct w:val="0"/>
              <w:bidi w:val="0"/>
              <w:adjustRightInd/>
              <w:snapToGrid/>
              <w:spacing w:line="240" w:lineRule="auto"/>
              <w:ind w:firstLine="640" w:firstLineChars="200"/>
              <w:jc w:val="both"/>
              <w:textAlignment w:val="auto"/>
              <w:rPr>
                <w:rFonts w:hint="default" w:ascii="仿宋" w:hAnsi="仿宋" w:eastAsia="仿宋" w:cs="仿宋"/>
                <w:b w:val="0"/>
                <w:bCs w:val="0"/>
                <w:color w:val="auto"/>
                <w:kern w:val="2"/>
                <w:sz w:val="32"/>
                <w:szCs w:val="32"/>
                <w:highlight w:val="none"/>
                <w:u w:val="none"/>
                <w:lang w:val="en-US" w:eastAsia="zh-CN" w:bidi="ar-SA"/>
              </w:rPr>
            </w:pPr>
            <w:r>
              <w:rPr>
                <w:rFonts w:hint="default"/>
                <w:sz w:val="32"/>
                <w:szCs w:val="32"/>
                <w:highlight w:val="none"/>
                <w:u w:val="none"/>
                <w:lang w:val="en-US" w:eastAsia="zh-CN"/>
              </w:rPr>
              <w:t>梁子湖区再生资源绿色分拣中心扩建升级项目</w:t>
            </w:r>
            <w:r>
              <w:rPr>
                <w:rFonts w:hint="eastAsia"/>
                <w:sz w:val="32"/>
                <w:szCs w:val="32"/>
                <w:highlight w:val="none"/>
                <w:u w:val="none"/>
                <w:lang w:val="en-US" w:eastAsia="zh-CN"/>
              </w:rPr>
              <w:t>:</w:t>
            </w:r>
            <w:r>
              <w:rPr>
                <w:rFonts w:hint="eastAsia" w:ascii="仿宋" w:hAnsi="仿宋" w:eastAsia="仿宋" w:cs="仿宋"/>
                <w:b w:val="0"/>
                <w:bCs w:val="0"/>
                <w:color w:val="auto"/>
                <w:kern w:val="2"/>
                <w:sz w:val="32"/>
                <w:szCs w:val="32"/>
                <w:highlight w:val="none"/>
                <w:u w:val="none"/>
                <w:lang w:val="en-US" w:eastAsia="zh-CN" w:bidi="ar-SA"/>
              </w:rPr>
              <w:t>在现有分拣中心基础上实施扩建改造，增加分拣处理面积，优化工艺流程布局，配置自动化分拣设备和环保处理设施，提升再生资源精细化分拣与绿色处理能力。项目建成后将显著提升区域再生资源回收处理效率与资源化利用水平，完善城乡再生资源回收体系，打造绿色、智能、高效的区级分拣中心示范项目，助力全市“无废城市”建设与循环经济高质量发展。</w:t>
            </w:r>
          </w:p>
        </w:tc>
      </w:tr>
    </w:tbl>
    <w:p w14:paraId="482DFF37">
      <w:pPr>
        <w:pStyle w:val="3"/>
        <w:bidi w:val="0"/>
        <w:rPr>
          <w:rFonts w:hint="eastAsia"/>
          <w:lang w:val="en-US" w:eastAsia="zh-CN"/>
        </w:rPr>
      </w:pPr>
      <w:bookmarkStart w:id="47" w:name="_Toc4631"/>
      <w:r>
        <w:rPr>
          <w:rFonts w:hint="eastAsia"/>
          <w:lang w:val="en-US" w:eastAsia="zh-CN"/>
        </w:rPr>
        <w:t>十一、加强组织创新，强化联农带农，提升供销“联农率”</w:t>
      </w:r>
      <w:bookmarkEnd w:id="47"/>
    </w:p>
    <w:p w14:paraId="225C4616">
      <w:pPr>
        <w:pStyle w:val="4"/>
        <w:bidi w:val="0"/>
        <w:ind w:firstLine="880"/>
        <w:rPr>
          <w:rFonts w:hint="eastAsia" w:ascii="Arial" w:hAnsi="Arial"/>
          <w:b w:val="0"/>
          <w:lang w:val="en-US" w:eastAsia="zh-CN"/>
        </w:rPr>
      </w:pPr>
      <w:bookmarkStart w:id="48" w:name="_Toc12879"/>
      <w:r>
        <w:rPr>
          <w:rFonts w:hint="eastAsia" w:ascii="Arial" w:hAnsi="Arial"/>
          <w:b w:val="0"/>
          <w:lang w:val="en-US" w:eastAsia="zh-CN"/>
        </w:rPr>
        <w:t>（一）主要任务</w:t>
      </w:r>
      <w:bookmarkEnd w:id="48"/>
    </w:p>
    <w:p w14:paraId="747DB89E">
      <w:pPr>
        <w:pStyle w:val="7"/>
        <w:keepNext w:val="0"/>
        <w:keepLines w:val="0"/>
        <w:pageBreakBefore w:val="0"/>
        <w:widowControl/>
        <w:numPr>
          <w:ilvl w:val="0"/>
          <w:numId w:val="0"/>
        </w:numPr>
        <w:kinsoku w:val="0"/>
        <w:wordWrap/>
        <w:overflowPunct/>
        <w:topLinePunct w:val="0"/>
        <w:autoSpaceDE w:val="0"/>
        <w:autoSpaceDN w:val="0"/>
        <w:bidi w:val="0"/>
        <w:adjustRightInd/>
        <w:snapToGrid/>
        <w:spacing w:line="240" w:lineRule="auto"/>
        <w:ind w:firstLine="640" w:firstLineChars="200"/>
        <w:jc w:val="both"/>
        <w:textAlignment w:val="baseline"/>
        <w:rPr>
          <w:rFonts w:hint="eastAsia" w:ascii="仿宋" w:hAnsi="仿宋" w:eastAsia="仿宋" w:cs="仿宋"/>
          <w:b w:val="0"/>
          <w:bCs w:val="0"/>
          <w:kern w:val="2"/>
          <w:sz w:val="32"/>
          <w:szCs w:val="32"/>
          <w:highlight w:val="none"/>
          <w:u w:val="none"/>
          <w:lang w:val="en-US" w:eastAsia="zh-CN" w:bidi="ar-SA"/>
        </w:rPr>
      </w:pPr>
      <w:bookmarkStart w:id="49" w:name="OLE_LINK4"/>
      <w:r>
        <w:rPr>
          <w:rFonts w:hint="eastAsia" w:ascii="仿宋" w:hAnsi="仿宋" w:eastAsia="仿宋" w:cs="仿宋"/>
          <w:b w:val="0"/>
          <w:bCs w:val="0"/>
          <w:kern w:val="2"/>
          <w:sz w:val="32"/>
          <w:szCs w:val="32"/>
          <w:highlight w:val="none"/>
          <w:u w:val="none"/>
          <w:lang w:val="en-US" w:eastAsia="zh-CN" w:bidi="ar-SA"/>
        </w:rPr>
        <w:t>推进基层社质量提升，组建农村合作经济组织联合会</w:t>
      </w:r>
      <w:bookmarkEnd w:id="49"/>
      <w:r>
        <w:rPr>
          <w:rFonts w:hint="eastAsia" w:ascii="仿宋" w:hAnsi="仿宋" w:eastAsia="仿宋" w:cs="仿宋"/>
          <w:b w:val="0"/>
          <w:bCs w:val="0"/>
          <w:kern w:val="2"/>
          <w:sz w:val="32"/>
          <w:szCs w:val="32"/>
          <w:highlight w:val="none"/>
          <w:u w:val="none"/>
          <w:lang w:val="en-US" w:eastAsia="zh-CN" w:bidi="ar-SA"/>
        </w:rPr>
        <w:t>，建立健全与农民的组织联结机制，将社有企业、基层社、专业合作社建成联农带农的“桥”，未来五年改造基层社6个，基层社入社社员达到1万人，专业合作社入社成员达到3万人。</w:t>
      </w:r>
    </w:p>
    <w:p w14:paraId="71CAFA0A">
      <w:pPr>
        <w:pStyle w:val="4"/>
        <w:bidi w:val="0"/>
        <w:ind w:firstLine="880"/>
        <w:rPr>
          <w:rFonts w:hint="eastAsia" w:ascii="Arial" w:hAnsi="Arial"/>
          <w:b w:val="0"/>
          <w:lang w:val="en-US" w:eastAsia="zh-CN"/>
        </w:rPr>
      </w:pPr>
      <w:bookmarkStart w:id="50" w:name="_Toc31743"/>
      <w:r>
        <w:rPr>
          <w:rFonts w:hint="eastAsia" w:ascii="Arial" w:hAnsi="Arial"/>
          <w:b w:val="0"/>
          <w:lang w:val="en-US" w:eastAsia="zh-CN"/>
        </w:rPr>
        <w:t>（二）分年度计划</w:t>
      </w:r>
      <w:bookmarkEnd w:id="50"/>
    </w:p>
    <w:p w14:paraId="6B7395AA">
      <w:pPr>
        <w:pStyle w:val="7"/>
        <w:keepNext w:val="0"/>
        <w:keepLines w:val="0"/>
        <w:pageBreakBefore w:val="0"/>
        <w:widowControl/>
        <w:numPr>
          <w:ilvl w:val="0"/>
          <w:numId w:val="0"/>
        </w:numPr>
        <w:kinsoku w:val="0"/>
        <w:wordWrap/>
        <w:overflowPunct/>
        <w:topLinePunct w:val="0"/>
        <w:autoSpaceDE w:val="0"/>
        <w:autoSpaceDN w:val="0"/>
        <w:bidi w:val="0"/>
        <w:adjustRightInd/>
        <w:snapToGrid/>
        <w:spacing w:line="240" w:lineRule="auto"/>
        <w:ind w:firstLine="640" w:firstLineChars="200"/>
        <w:jc w:val="both"/>
        <w:textAlignment w:val="baseline"/>
        <w:rPr>
          <w:rFonts w:hint="default" w:ascii="仿宋" w:hAnsi="仿宋" w:eastAsia="仿宋" w:cs="仿宋"/>
          <w:b w:val="0"/>
          <w:bCs w:val="0"/>
          <w:kern w:val="2"/>
          <w:sz w:val="32"/>
          <w:szCs w:val="32"/>
          <w:highlight w:val="none"/>
          <w:u w:val="none"/>
          <w:lang w:val="en-US" w:eastAsia="zh-CN" w:bidi="ar-SA"/>
        </w:rPr>
      </w:pPr>
      <w:r>
        <w:rPr>
          <w:rFonts w:hint="default" w:ascii="仿宋" w:hAnsi="仿宋" w:eastAsia="仿宋" w:cs="仿宋"/>
          <w:b w:val="0"/>
          <w:bCs w:val="0"/>
          <w:kern w:val="2"/>
          <w:sz w:val="32"/>
          <w:szCs w:val="32"/>
          <w:highlight w:val="none"/>
          <w:u w:val="none"/>
          <w:lang w:val="en-US" w:eastAsia="zh-CN" w:bidi="ar-SA"/>
        </w:rPr>
        <w:t>2026年：</w:t>
      </w:r>
      <w:r>
        <w:rPr>
          <w:rFonts w:hint="eastAsia" w:ascii="仿宋" w:hAnsi="仿宋" w:eastAsia="仿宋" w:cs="仿宋"/>
          <w:b w:val="0"/>
          <w:bCs w:val="0"/>
          <w:kern w:val="2"/>
          <w:sz w:val="32"/>
          <w:szCs w:val="32"/>
          <w:highlight w:val="none"/>
          <w:u w:val="none"/>
          <w:lang w:val="en-US" w:eastAsia="zh-CN" w:bidi="ar-SA"/>
        </w:rPr>
        <w:t>组建农村合作经济组织联合会</w:t>
      </w:r>
      <w:r>
        <w:rPr>
          <w:rFonts w:hint="default" w:ascii="仿宋" w:hAnsi="仿宋" w:eastAsia="仿宋" w:cs="仿宋"/>
          <w:b w:val="0"/>
          <w:bCs w:val="0"/>
          <w:kern w:val="2"/>
          <w:sz w:val="32"/>
          <w:szCs w:val="32"/>
          <w:highlight w:val="none"/>
          <w:u w:val="none"/>
          <w:lang w:val="en-US" w:eastAsia="zh-CN" w:bidi="ar-SA"/>
        </w:rPr>
        <w:t>。制定基层社和农民专业合作社发展计划。</w:t>
      </w:r>
      <w:r>
        <w:rPr>
          <w:rFonts w:hint="eastAsia" w:ascii="仿宋" w:hAnsi="仿宋" w:eastAsia="仿宋" w:cs="仿宋"/>
          <w:b w:val="0"/>
          <w:bCs w:val="0"/>
          <w:kern w:val="2"/>
          <w:sz w:val="32"/>
          <w:szCs w:val="32"/>
          <w:highlight w:val="none"/>
          <w:u w:val="none"/>
          <w:lang w:val="en-US" w:eastAsia="zh-CN" w:bidi="ar-SA"/>
        </w:rPr>
        <w:t>改造基层社1个，</w:t>
      </w:r>
      <w:r>
        <w:rPr>
          <w:rFonts w:hint="default" w:ascii="仿宋" w:hAnsi="仿宋" w:eastAsia="仿宋" w:cs="仿宋"/>
          <w:b w:val="0"/>
          <w:bCs w:val="0"/>
          <w:kern w:val="2"/>
          <w:sz w:val="32"/>
          <w:szCs w:val="32"/>
          <w:highlight w:val="none"/>
          <w:u w:val="none"/>
          <w:lang w:val="en-US" w:eastAsia="zh-CN" w:bidi="ar-SA"/>
        </w:rPr>
        <w:t>新增基层社社员</w:t>
      </w:r>
      <w:r>
        <w:rPr>
          <w:rFonts w:hint="eastAsia" w:ascii="仿宋" w:hAnsi="仿宋" w:eastAsia="仿宋" w:cs="仿宋"/>
          <w:b w:val="0"/>
          <w:bCs w:val="0"/>
          <w:kern w:val="2"/>
          <w:sz w:val="32"/>
          <w:szCs w:val="32"/>
          <w:highlight w:val="none"/>
          <w:u w:val="none"/>
          <w:lang w:val="en-US" w:eastAsia="zh-CN" w:bidi="ar-SA"/>
        </w:rPr>
        <w:t>500</w:t>
      </w:r>
      <w:r>
        <w:rPr>
          <w:rFonts w:hint="default" w:ascii="仿宋" w:hAnsi="仿宋" w:eastAsia="仿宋" w:cs="仿宋"/>
          <w:b w:val="0"/>
          <w:bCs w:val="0"/>
          <w:kern w:val="2"/>
          <w:sz w:val="32"/>
          <w:szCs w:val="32"/>
          <w:highlight w:val="none"/>
          <w:u w:val="none"/>
          <w:lang w:val="en-US" w:eastAsia="zh-CN" w:bidi="ar-SA"/>
        </w:rPr>
        <w:t>人，专业合作社成员</w:t>
      </w:r>
      <w:r>
        <w:rPr>
          <w:rFonts w:hint="eastAsia" w:ascii="仿宋" w:hAnsi="仿宋" w:eastAsia="仿宋" w:cs="仿宋"/>
          <w:b w:val="0"/>
          <w:bCs w:val="0"/>
          <w:kern w:val="2"/>
          <w:sz w:val="32"/>
          <w:szCs w:val="32"/>
          <w:highlight w:val="none"/>
          <w:u w:val="none"/>
          <w:lang w:val="en-US" w:eastAsia="zh-CN" w:bidi="ar-SA"/>
        </w:rPr>
        <w:t>达2.6万</w:t>
      </w:r>
      <w:r>
        <w:rPr>
          <w:rFonts w:hint="default" w:ascii="仿宋" w:hAnsi="仿宋" w:eastAsia="仿宋" w:cs="仿宋"/>
          <w:b w:val="0"/>
          <w:bCs w:val="0"/>
          <w:kern w:val="2"/>
          <w:sz w:val="32"/>
          <w:szCs w:val="32"/>
          <w:highlight w:val="none"/>
          <w:u w:val="none"/>
          <w:lang w:val="en-US" w:eastAsia="zh-CN" w:bidi="ar-SA"/>
        </w:rPr>
        <w:t>人。</w:t>
      </w:r>
    </w:p>
    <w:p w14:paraId="4535B4D1">
      <w:pPr>
        <w:pStyle w:val="7"/>
        <w:keepNext w:val="0"/>
        <w:keepLines w:val="0"/>
        <w:pageBreakBefore w:val="0"/>
        <w:widowControl/>
        <w:numPr>
          <w:ilvl w:val="0"/>
          <w:numId w:val="0"/>
        </w:numPr>
        <w:kinsoku w:val="0"/>
        <w:wordWrap/>
        <w:overflowPunct/>
        <w:topLinePunct w:val="0"/>
        <w:autoSpaceDE w:val="0"/>
        <w:autoSpaceDN w:val="0"/>
        <w:bidi w:val="0"/>
        <w:adjustRightInd/>
        <w:snapToGrid/>
        <w:spacing w:line="240" w:lineRule="auto"/>
        <w:ind w:firstLine="640" w:firstLineChars="200"/>
        <w:jc w:val="both"/>
        <w:textAlignment w:val="baseline"/>
        <w:rPr>
          <w:rFonts w:hint="default" w:ascii="仿宋" w:hAnsi="仿宋" w:eastAsia="仿宋" w:cs="仿宋"/>
          <w:b w:val="0"/>
          <w:bCs w:val="0"/>
          <w:kern w:val="2"/>
          <w:sz w:val="32"/>
          <w:szCs w:val="32"/>
          <w:highlight w:val="none"/>
          <w:u w:val="none"/>
          <w:lang w:val="en-US" w:eastAsia="zh-CN" w:bidi="ar-SA"/>
        </w:rPr>
      </w:pPr>
      <w:r>
        <w:rPr>
          <w:rFonts w:hint="default" w:ascii="仿宋" w:hAnsi="仿宋" w:eastAsia="仿宋" w:cs="仿宋"/>
          <w:b w:val="0"/>
          <w:bCs w:val="0"/>
          <w:kern w:val="2"/>
          <w:sz w:val="32"/>
          <w:szCs w:val="32"/>
          <w:highlight w:val="none"/>
          <w:u w:val="none"/>
          <w:lang w:val="en-US" w:eastAsia="zh-CN" w:bidi="ar-SA"/>
        </w:rPr>
        <w:t>2027年：</w:t>
      </w:r>
      <w:r>
        <w:rPr>
          <w:rFonts w:hint="eastAsia" w:ascii="仿宋" w:hAnsi="仿宋" w:eastAsia="仿宋" w:cs="仿宋"/>
          <w:b w:val="0"/>
          <w:bCs w:val="0"/>
          <w:kern w:val="2"/>
          <w:sz w:val="32"/>
          <w:szCs w:val="32"/>
          <w:highlight w:val="none"/>
          <w:u w:val="none"/>
          <w:lang w:val="en-US" w:eastAsia="zh-CN" w:bidi="ar-SA"/>
        </w:rPr>
        <w:t>不断扩大“两个到户”覆盖面。</w:t>
      </w:r>
      <w:r>
        <w:rPr>
          <w:rFonts w:hint="default" w:ascii="仿宋" w:hAnsi="仿宋" w:eastAsia="仿宋" w:cs="仿宋"/>
          <w:b w:val="0"/>
          <w:bCs w:val="0"/>
          <w:kern w:val="2"/>
          <w:sz w:val="32"/>
          <w:szCs w:val="32"/>
          <w:highlight w:val="none"/>
          <w:u w:val="none"/>
          <w:lang w:val="en-US" w:eastAsia="zh-CN" w:bidi="ar-SA"/>
        </w:rPr>
        <w:t>累计</w:t>
      </w:r>
      <w:r>
        <w:rPr>
          <w:rFonts w:hint="eastAsia" w:ascii="仿宋" w:hAnsi="仿宋" w:eastAsia="仿宋" w:cs="仿宋"/>
          <w:b w:val="0"/>
          <w:bCs w:val="0"/>
          <w:kern w:val="2"/>
          <w:sz w:val="32"/>
          <w:szCs w:val="32"/>
          <w:highlight w:val="none"/>
          <w:u w:val="none"/>
          <w:lang w:val="en-US" w:eastAsia="zh-CN" w:bidi="ar-SA"/>
        </w:rPr>
        <w:t>改造基层社2个</w:t>
      </w:r>
      <w:r>
        <w:rPr>
          <w:rFonts w:hint="default" w:ascii="仿宋" w:hAnsi="仿宋" w:eastAsia="仿宋" w:cs="仿宋"/>
          <w:b w:val="0"/>
          <w:bCs w:val="0"/>
          <w:kern w:val="2"/>
          <w:sz w:val="32"/>
          <w:szCs w:val="32"/>
          <w:highlight w:val="none"/>
          <w:u w:val="none"/>
          <w:lang w:val="en-US" w:eastAsia="zh-CN" w:bidi="ar-SA"/>
        </w:rPr>
        <w:t>，基层社社员达</w:t>
      </w:r>
      <w:r>
        <w:rPr>
          <w:rFonts w:hint="eastAsia" w:ascii="仿宋" w:hAnsi="仿宋" w:eastAsia="仿宋" w:cs="仿宋"/>
          <w:b w:val="0"/>
          <w:bCs w:val="0"/>
          <w:kern w:val="2"/>
          <w:sz w:val="32"/>
          <w:szCs w:val="32"/>
          <w:highlight w:val="none"/>
          <w:u w:val="none"/>
          <w:lang w:val="en-US" w:eastAsia="zh-CN" w:bidi="ar-SA"/>
        </w:rPr>
        <w:t>8500</w:t>
      </w:r>
      <w:r>
        <w:rPr>
          <w:rFonts w:hint="default" w:ascii="仿宋" w:hAnsi="仿宋" w:eastAsia="仿宋" w:cs="仿宋"/>
          <w:b w:val="0"/>
          <w:bCs w:val="0"/>
          <w:kern w:val="2"/>
          <w:sz w:val="32"/>
          <w:szCs w:val="32"/>
          <w:highlight w:val="none"/>
          <w:u w:val="none"/>
          <w:lang w:val="en-US" w:eastAsia="zh-CN" w:bidi="ar-SA"/>
        </w:rPr>
        <w:t>人，专业合作社成员达</w:t>
      </w:r>
      <w:r>
        <w:rPr>
          <w:rFonts w:hint="eastAsia" w:ascii="仿宋" w:hAnsi="仿宋" w:eastAsia="仿宋" w:cs="仿宋"/>
          <w:b w:val="0"/>
          <w:bCs w:val="0"/>
          <w:kern w:val="2"/>
          <w:sz w:val="32"/>
          <w:szCs w:val="32"/>
          <w:highlight w:val="none"/>
          <w:u w:val="none"/>
          <w:lang w:val="en-US" w:eastAsia="zh-CN" w:bidi="ar-SA"/>
        </w:rPr>
        <w:t>2.7</w:t>
      </w:r>
      <w:r>
        <w:rPr>
          <w:rFonts w:hint="default" w:ascii="仿宋" w:hAnsi="仿宋" w:eastAsia="仿宋" w:cs="仿宋"/>
          <w:b w:val="0"/>
          <w:bCs w:val="0"/>
          <w:kern w:val="2"/>
          <w:sz w:val="32"/>
          <w:szCs w:val="32"/>
          <w:highlight w:val="none"/>
          <w:u w:val="none"/>
          <w:lang w:val="en-US" w:eastAsia="zh-CN" w:bidi="ar-SA"/>
        </w:rPr>
        <w:t>万人。</w:t>
      </w:r>
    </w:p>
    <w:p w14:paraId="0F06A7FC">
      <w:pPr>
        <w:pStyle w:val="7"/>
        <w:keepNext w:val="0"/>
        <w:keepLines w:val="0"/>
        <w:pageBreakBefore w:val="0"/>
        <w:widowControl/>
        <w:numPr>
          <w:ilvl w:val="0"/>
          <w:numId w:val="0"/>
        </w:numPr>
        <w:kinsoku w:val="0"/>
        <w:wordWrap/>
        <w:overflowPunct/>
        <w:topLinePunct w:val="0"/>
        <w:autoSpaceDE w:val="0"/>
        <w:autoSpaceDN w:val="0"/>
        <w:bidi w:val="0"/>
        <w:adjustRightInd/>
        <w:snapToGrid/>
        <w:spacing w:line="240" w:lineRule="auto"/>
        <w:ind w:firstLine="640" w:firstLineChars="200"/>
        <w:jc w:val="both"/>
        <w:textAlignment w:val="baseline"/>
        <w:rPr>
          <w:rFonts w:hint="default" w:ascii="仿宋" w:hAnsi="仿宋" w:eastAsia="仿宋" w:cs="仿宋"/>
          <w:b w:val="0"/>
          <w:bCs w:val="0"/>
          <w:kern w:val="2"/>
          <w:sz w:val="32"/>
          <w:szCs w:val="32"/>
          <w:highlight w:val="none"/>
          <w:u w:val="none"/>
          <w:lang w:val="en-US" w:eastAsia="zh-CN" w:bidi="ar-SA"/>
        </w:rPr>
      </w:pPr>
      <w:r>
        <w:rPr>
          <w:rFonts w:hint="default" w:ascii="仿宋" w:hAnsi="仿宋" w:eastAsia="仿宋" w:cs="仿宋"/>
          <w:b w:val="0"/>
          <w:bCs w:val="0"/>
          <w:kern w:val="2"/>
          <w:sz w:val="32"/>
          <w:szCs w:val="32"/>
          <w:highlight w:val="none"/>
          <w:u w:val="none"/>
          <w:lang w:val="en-US" w:eastAsia="zh-CN" w:bidi="ar-SA"/>
        </w:rPr>
        <w:t>2028年：联合会作用有效发挥，组织网络扩大。累计</w:t>
      </w:r>
      <w:r>
        <w:rPr>
          <w:rFonts w:hint="eastAsia" w:ascii="仿宋" w:hAnsi="仿宋" w:eastAsia="仿宋" w:cs="仿宋"/>
          <w:b w:val="0"/>
          <w:bCs w:val="0"/>
          <w:kern w:val="2"/>
          <w:sz w:val="32"/>
          <w:szCs w:val="32"/>
          <w:highlight w:val="none"/>
          <w:u w:val="none"/>
          <w:lang w:val="en-US" w:eastAsia="zh-CN" w:bidi="ar-SA"/>
        </w:rPr>
        <w:t>改造基层社3个，</w:t>
      </w:r>
      <w:r>
        <w:rPr>
          <w:rFonts w:hint="default" w:ascii="仿宋" w:hAnsi="仿宋" w:eastAsia="仿宋" w:cs="仿宋"/>
          <w:b w:val="0"/>
          <w:bCs w:val="0"/>
          <w:kern w:val="2"/>
          <w:sz w:val="32"/>
          <w:szCs w:val="32"/>
          <w:highlight w:val="none"/>
          <w:u w:val="none"/>
          <w:lang w:val="en-US" w:eastAsia="zh-CN" w:bidi="ar-SA"/>
        </w:rPr>
        <w:t>基层社社员达</w:t>
      </w:r>
      <w:r>
        <w:rPr>
          <w:rFonts w:hint="eastAsia" w:ascii="仿宋" w:hAnsi="仿宋" w:eastAsia="仿宋" w:cs="仿宋"/>
          <w:b w:val="0"/>
          <w:bCs w:val="0"/>
          <w:kern w:val="2"/>
          <w:sz w:val="32"/>
          <w:szCs w:val="32"/>
          <w:highlight w:val="none"/>
          <w:u w:val="none"/>
          <w:lang w:val="en-US" w:eastAsia="zh-CN" w:bidi="ar-SA"/>
        </w:rPr>
        <w:t>9000</w:t>
      </w:r>
      <w:r>
        <w:rPr>
          <w:rFonts w:hint="default" w:ascii="仿宋" w:hAnsi="仿宋" w:eastAsia="仿宋" w:cs="仿宋"/>
          <w:b w:val="0"/>
          <w:bCs w:val="0"/>
          <w:kern w:val="2"/>
          <w:sz w:val="32"/>
          <w:szCs w:val="32"/>
          <w:highlight w:val="none"/>
          <w:u w:val="none"/>
          <w:lang w:val="en-US" w:eastAsia="zh-CN" w:bidi="ar-SA"/>
        </w:rPr>
        <w:t>人，专业合作社成员达2</w:t>
      </w:r>
      <w:r>
        <w:rPr>
          <w:rFonts w:hint="eastAsia" w:ascii="仿宋" w:hAnsi="仿宋" w:eastAsia="仿宋" w:cs="仿宋"/>
          <w:b w:val="0"/>
          <w:bCs w:val="0"/>
          <w:kern w:val="2"/>
          <w:sz w:val="32"/>
          <w:szCs w:val="32"/>
          <w:highlight w:val="none"/>
          <w:u w:val="none"/>
          <w:lang w:val="en-US" w:eastAsia="zh-CN" w:bidi="ar-SA"/>
        </w:rPr>
        <w:t>.8</w:t>
      </w:r>
      <w:r>
        <w:rPr>
          <w:rFonts w:hint="default" w:ascii="仿宋" w:hAnsi="仿宋" w:eastAsia="仿宋" w:cs="仿宋"/>
          <w:b w:val="0"/>
          <w:bCs w:val="0"/>
          <w:kern w:val="2"/>
          <w:sz w:val="32"/>
          <w:szCs w:val="32"/>
          <w:highlight w:val="none"/>
          <w:u w:val="none"/>
          <w:lang w:val="en-US" w:eastAsia="zh-CN" w:bidi="ar-SA"/>
        </w:rPr>
        <w:t>万人。</w:t>
      </w:r>
    </w:p>
    <w:p w14:paraId="0311AFD9">
      <w:pPr>
        <w:pStyle w:val="7"/>
        <w:keepNext w:val="0"/>
        <w:keepLines w:val="0"/>
        <w:pageBreakBefore w:val="0"/>
        <w:widowControl/>
        <w:numPr>
          <w:ilvl w:val="0"/>
          <w:numId w:val="0"/>
        </w:numPr>
        <w:kinsoku w:val="0"/>
        <w:wordWrap/>
        <w:overflowPunct/>
        <w:topLinePunct w:val="0"/>
        <w:autoSpaceDE w:val="0"/>
        <w:autoSpaceDN w:val="0"/>
        <w:bidi w:val="0"/>
        <w:adjustRightInd/>
        <w:snapToGrid/>
        <w:spacing w:line="240" w:lineRule="auto"/>
        <w:ind w:firstLine="640" w:firstLineChars="200"/>
        <w:jc w:val="both"/>
        <w:textAlignment w:val="baseline"/>
        <w:rPr>
          <w:rFonts w:hint="default" w:ascii="仿宋" w:hAnsi="仿宋" w:eastAsia="仿宋" w:cs="仿宋"/>
          <w:b w:val="0"/>
          <w:bCs w:val="0"/>
          <w:kern w:val="2"/>
          <w:sz w:val="32"/>
          <w:szCs w:val="32"/>
          <w:highlight w:val="none"/>
          <w:u w:val="none"/>
          <w:lang w:val="en-US" w:eastAsia="zh-CN" w:bidi="ar-SA"/>
        </w:rPr>
      </w:pPr>
      <w:r>
        <w:rPr>
          <w:rFonts w:hint="default" w:ascii="仿宋" w:hAnsi="仿宋" w:eastAsia="仿宋" w:cs="仿宋"/>
          <w:b w:val="0"/>
          <w:bCs w:val="0"/>
          <w:kern w:val="2"/>
          <w:sz w:val="32"/>
          <w:szCs w:val="32"/>
          <w:highlight w:val="none"/>
          <w:u w:val="none"/>
          <w:lang w:val="en-US" w:eastAsia="zh-CN" w:bidi="ar-SA"/>
        </w:rPr>
        <w:t>2029年：基层组织体系健全，与农民利益联结紧密。累计</w:t>
      </w:r>
      <w:r>
        <w:rPr>
          <w:rFonts w:hint="eastAsia" w:ascii="仿宋" w:hAnsi="仿宋" w:eastAsia="仿宋" w:cs="仿宋"/>
          <w:b w:val="0"/>
          <w:bCs w:val="0"/>
          <w:kern w:val="2"/>
          <w:sz w:val="32"/>
          <w:szCs w:val="32"/>
          <w:highlight w:val="none"/>
          <w:u w:val="none"/>
          <w:lang w:val="en-US" w:eastAsia="zh-CN" w:bidi="ar-SA"/>
        </w:rPr>
        <w:t>改造基层社5个，</w:t>
      </w:r>
      <w:r>
        <w:rPr>
          <w:rFonts w:hint="default" w:ascii="仿宋" w:hAnsi="仿宋" w:eastAsia="仿宋" w:cs="仿宋"/>
          <w:b w:val="0"/>
          <w:bCs w:val="0"/>
          <w:kern w:val="2"/>
          <w:sz w:val="32"/>
          <w:szCs w:val="32"/>
          <w:highlight w:val="none"/>
          <w:u w:val="none"/>
          <w:lang w:val="en-US" w:eastAsia="zh-CN" w:bidi="ar-SA"/>
        </w:rPr>
        <w:t>基层社社员达9</w:t>
      </w:r>
      <w:r>
        <w:rPr>
          <w:rFonts w:hint="eastAsia" w:ascii="仿宋" w:hAnsi="仿宋" w:eastAsia="仿宋" w:cs="仿宋"/>
          <w:b w:val="0"/>
          <w:bCs w:val="0"/>
          <w:kern w:val="2"/>
          <w:sz w:val="32"/>
          <w:szCs w:val="32"/>
          <w:highlight w:val="none"/>
          <w:u w:val="none"/>
          <w:lang w:val="en-US" w:eastAsia="zh-CN" w:bidi="ar-SA"/>
        </w:rPr>
        <w:t>500</w:t>
      </w:r>
      <w:r>
        <w:rPr>
          <w:rFonts w:hint="default" w:ascii="仿宋" w:hAnsi="仿宋" w:eastAsia="仿宋" w:cs="仿宋"/>
          <w:b w:val="0"/>
          <w:bCs w:val="0"/>
          <w:kern w:val="2"/>
          <w:sz w:val="32"/>
          <w:szCs w:val="32"/>
          <w:highlight w:val="none"/>
          <w:u w:val="none"/>
          <w:lang w:val="en-US" w:eastAsia="zh-CN" w:bidi="ar-SA"/>
        </w:rPr>
        <w:t>人，专业合作社成员达</w:t>
      </w:r>
      <w:r>
        <w:rPr>
          <w:rFonts w:hint="eastAsia" w:ascii="仿宋" w:hAnsi="仿宋" w:eastAsia="仿宋" w:cs="仿宋"/>
          <w:b w:val="0"/>
          <w:bCs w:val="0"/>
          <w:kern w:val="2"/>
          <w:sz w:val="32"/>
          <w:szCs w:val="32"/>
          <w:highlight w:val="none"/>
          <w:u w:val="none"/>
          <w:lang w:val="en-US" w:eastAsia="zh-CN" w:bidi="ar-SA"/>
        </w:rPr>
        <w:t>2.9</w:t>
      </w:r>
      <w:r>
        <w:rPr>
          <w:rFonts w:hint="default" w:ascii="仿宋" w:hAnsi="仿宋" w:eastAsia="仿宋" w:cs="仿宋"/>
          <w:b w:val="0"/>
          <w:bCs w:val="0"/>
          <w:kern w:val="2"/>
          <w:sz w:val="32"/>
          <w:szCs w:val="32"/>
          <w:highlight w:val="none"/>
          <w:u w:val="none"/>
          <w:lang w:val="en-US" w:eastAsia="zh-CN" w:bidi="ar-SA"/>
        </w:rPr>
        <w:t>万人。</w:t>
      </w:r>
    </w:p>
    <w:p w14:paraId="2611B6A0">
      <w:pPr>
        <w:pStyle w:val="7"/>
        <w:keepNext w:val="0"/>
        <w:keepLines w:val="0"/>
        <w:pageBreakBefore w:val="0"/>
        <w:widowControl/>
        <w:numPr>
          <w:ilvl w:val="0"/>
          <w:numId w:val="0"/>
        </w:numPr>
        <w:kinsoku w:val="0"/>
        <w:wordWrap/>
        <w:overflowPunct/>
        <w:topLinePunct w:val="0"/>
        <w:autoSpaceDE w:val="0"/>
        <w:autoSpaceDN w:val="0"/>
        <w:bidi w:val="0"/>
        <w:adjustRightInd/>
        <w:snapToGrid/>
        <w:spacing w:line="240" w:lineRule="auto"/>
        <w:ind w:firstLine="640" w:firstLineChars="200"/>
        <w:jc w:val="both"/>
        <w:textAlignment w:val="baseline"/>
        <w:rPr>
          <w:rFonts w:hint="default" w:ascii="仿宋" w:hAnsi="仿宋" w:eastAsia="仿宋" w:cs="仿宋"/>
          <w:b w:val="0"/>
          <w:bCs w:val="0"/>
          <w:kern w:val="2"/>
          <w:sz w:val="32"/>
          <w:szCs w:val="32"/>
          <w:highlight w:val="none"/>
          <w:u w:val="none"/>
          <w:lang w:val="en-US" w:eastAsia="zh-CN" w:bidi="ar-SA"/>
        </w:rPr>
      </w:pPr>
      <w:r>
        <w:rPr>
          <w:rFonts w:hint="default" w:ascii="仿宋" w:hAnsi="仿宋" w:eastAsia="仿宋" w:cs="仿宋"/>
          <w:b w:val="0"/>
          <w:bCs w:val="0"/>
          <w:kern w:val="2"/>
          <w:sz w:val="32"/>
          <w:szCs w:val="32"/>
          <w:highlight w:val="none"/>
          <w:u w:val="none"/>
          <w:lang w:val="en-US" w:eastAsia="zh-CN" w:bidi="ar-SA"/>
        </w:rPr>
        <w:t>2030年：全面完成目标任务，</w:t>
      </w:r>
      <w:r>
        <w:rPr>
          <w:rFonts w:hint="eastAsia" w:ascii="仿宋" w:hAnsi="仿宋" w:eastAsia="仿宋" w:cs="仿宋"/>
          <w:b w:val="0"/>
          <w:bCs w:val="0"/>
          <w:kern w:val="2"/>
          <w:sz w:val="32"/>
          <w:szCs w:val="32"/>
          <w:highlight w:val="none"/>
          <w:u w:val="none"/>
          <w:lang w:val="en-US" w:eastAsia="zh-CN" w:bidi="ar-SA"/>
        </w:rPr>
        <w:t>累计改造6个高质量基层社</w:t>
      </w:r>
      <w:r>
        <w:rPr>
          <w:rFonts w:hint="default" w:ascii="仿宋" w:hAnsi="仿宋" w:eastAsia="仿宋" w:cs="仿宋"/>
          <w:b w:val="0"/>
          <w:bCs w:val="0"/>
          <w:kern w:val="2"/>
          <w:sz w:val="32"/>
          <w:szCs w:val="32"/>
          <w:highlight w:val="none"/>
          <w:u w:val="none"/>
          <w:lang w:val="en-US" w:eastAsia="zh-CN" w:bidi="ar-SA"/>
        </w:rPr>
        <w:t>，</w:t>
      </w:r>
      <w:r>
        <w:rPr>
          <w:rFonts w:hint="eastAsia" w:ascii="仿宋" w:hAnsi="仿宋" w:eastAsia="仿宋" w:cs="仿宋"/>
          <w:b w:val="0"/>
          <w:bCs w:val="0"/>
          <w:kern w:val="2"/>
          <w:sz w:val="32"/>
          <w:szCs w:val="32"/>
          <w:highlight w:val="none"/>
          <w:u w:val="none"/>
          <w:lang w:val="en-US" w:eastAsia="zh-CN" w:bidi="ar-SA"/>
        </w:rPr>
        <w:t>基层社入社社员达到1万人，专业合作社入社成员达到3万人，</w:t>
      </w:r>
      <w:r>
        <w:rPr>
          <w:rFonts w:hint="default" w:ascii="仿宋" w:hAnsi="仿宋" w:eastAsia="仿宋" w:cs="仿宋"/>
          <w:b w:val="0"/>
          <w:bCs w:val="0"/>
          <w:kern w:val="2"/>
          <w:sz w:val="32"/>
          <w:szCs w:val="32"/>
          <w:highlight w:val="none"/>
          <w:u w:val="none"/>
          <w:lang w:val="en-US" w:eastAsia="zh-CN" w:bidi="ar-SA"/>
        </w:rPr>
        <w:t>基层社与专业合作社成为乡村振兴的重要力量，农民在产业链中的参与度和受益度大幅提升。</w:t>
      </w:r>
    </w:p>
    <w:p w14:paraId="3EF7458A">
      <w:pPr>
        <w:pStyle w:val="4"/>
        <w:bidi w:val="0"/>
        <w:ind w:firstLine="880"/>
        <w:rPr>
          <w:rFonts w:hint="eastAsia" w:ascii="Arial" w:hAnsi="Arial"/>
          <w:b w:val="0"/>
          <w:lang w:val="en-US" w:eastAsia="zh-CN"/>
        </w:rPr>
      </w:pPr>
      <w:bookmarkStart w:id="51" w:name="_Toc21397"/>
      <w:r>
        <w:rPr>
          <w:rFonts w:hint="eastAsia" w:ascii="Arial" w:hAnsi="Arial"/>
          <w:b w:val="0"/>
          <w:lang w:val="en-US" w:eastAsia="zh-CN"/>
        </w:rPr>
        <w:t>（三）具体措施</w:t>
      </w:r>
      <w:bookmarkEnd w:id="51"/>
    </w:p>
    <w:p w14:paraId="0D69935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3" w:firstLineChars="200"/>
        <w:jc w:val="both"/>
        <w:textAlignment w:val="auto"/>
        <w:rPr>
          <w:rFonts w:hint="eastAsia" w:ascii="仿宋" w:hAnsi="仿宋" w:eastAsia="仿宋" w:cs="仿宋"/>
          <w:sz w:val="32"/>
          <w:szCs w:val="32"/>
          <w:highlight w:val="none"/>
          <w:u w:val="none"/>
          <w:lang w:val="en-US" w:eastAsia="zh-CN"/>
        </w:rPr>
      </w:pPr>
      <w:r>
        <w:rPr>
          <w:rFonts w:hint="eastAsia" w:ascii="仿宋" w:hAnsi="仿宋" w:eastAsia="仿宋" w:cs="仿宋"/>
          <w:b/>
          <w:bCs/>
          <w:sz w:val="32"/>
          <w:szCs w:val="32"/>
          <w:highlight w:val="none"/>
          <w:u w:val="none"/>
          <w:lang w:val="en-US" w:eastAsia="zh-CN"/>
        </w:rPr>
        <w:t>1.分类有序推进基层社改造。</w:t>
      </w:r>
      <w:r>
        <w:rPr>
          <w:rFonts w:hint="eastAsia" w:ascii="仿宋" w:hAnsi="仿宋" w:eastAsia="仿宋" w:cs="仿宋"/>
          <w:b w:val="0"/>
          <w:bCs w:val="0"/>
          <w:sz w:val="32"/>
          <w:szCs w:val="32"/>
          <w:highlight w:val="none"/>
          <w:u w:val="none"/>
          <w:lang w:val="en-US" w:eastAsia="zh-CN"/>
        </w:rPr>
        <w:t>深入推进总社“千县千社质量提升行动”，引导基层社组团发展，强化基层社资产盘活利用力度，通过设施改造、机制优化、功能拓展、数字赋能等方式不断优化基层社的建设，提高服务覆盖面和农民受益面，加快薄弱基层社的“清零”。鼓励基层社与村集体合作开展村社共建，深</w:t>
      </w:r>
      <w:r>
        <w:rPr>
          <w:rFonts w:hint="eastAsia" w:ascii="仿宋" w:hAnsi="仿宋" w:eastAsia="仿宋" w:cs="仿宋"/>
          <w:sz w:val="32"/>
          <w:szCs w:val="32"/>
          <w:highlight w:val="none"/>
          <w:u w:val="none"/>
          <w:lang w:val="en-US" w:eastAsia="zh-CN"/>
        </w:rPr>
        <w:t>化村集体与基层社在技术赋能、土地托管、产业带动等方面的联动协作，携手培育发展特色优势产业，持续拓宽为农服务边界，全面提升为农服务质量和综合效益。</w:t>
      </w:r>
    </w:p>
    <w:p w14:paraId="36A40EFB">
      <w:pPr>
        <w:keepNext w:val="0"/>
        <w:keepLines w:val="0"/>
        <w:pageBreakBefore w:val="0"/>
        <w:widowControl/>
        <w:kinsoku w:val="0"/>
        <w:wordWrap/>
        <w:overflowPunct/>
        <w:topLinePunct w:val="0"/>
        <w:autoSpaceDE w:val="0"/>
        <w:autoSpaceDN w:val="0"/>
        <w:bidi w:val="0"/>
        <w:adjustRightInd/>
        <w:snapToGrid/>
        <w:spacing w:line="240" w:lineRule="auto"/>
        <w:ind w:left="0" w:firstLine="643" w:firstLineChars="200"/>
        <w:jc w:val="both"/>
        <w:textAlignment w:val="baseline"/>
        <w:rPr>
          <w:rFonts w:hint="default" w:ascii="仿宋" w:hAnsi="仿宋" w:eastAsia="仿宋" w:cs="仿宋"/>
          <w:b w:val="0"/>
          <w:bCs w:val="0"/>
          <w:sz w:val="32"/>
          <w:szCs w:val="32"/>
          <w:highlight w:val="none"/>
          <w:u w:val="none"/>
          <w:lang w:val="en-US" w:eastAsia="zh-CN"/>
        </w:rPr>
      </w:pPr>
      <w:r>
        <w:rPr>
          <w:rFonts w:hint="eastAsia" w:ascii="仿宋" w:hAnsi="仿宋" w:eastAsia="仿宋" w:cs="仿宋"/>
          <w:b/>
          <w:bCs/>
          <w:sz w:val="32"/>
          <w:szCs w:val="32"/>
          <w:highlight w:val="none"/>
          <w:u w:val="none"/>
          <w:lang w:val="en-US" w:eastAsia="zh-CN"/>
        </w:rPr>
        <w:t>2.做大做强农民专业合作社。</w:t>
      </w:r>
      <w:r>
        <w:rPr>
          <w:rFonts w:hint="eastAsia" w:ascii="仿宋" w:hAnsi="仿宋" w:eastAsia="仿宋" w:cs="仿宋"/>
          <w:b w:val="0"/>
          <w:bCs w:val="0"/>
          <w:sz w:val="32"/>
          <w:szCs w:val="32"/>
          <w:highlight w:val="none"/>
          <w:u w:val="none"/>
          <w:lang w:val="en-US" w:eastAsia="zh-CN"/>
        </w:rPr>
        <w:t>通过共同出资、共创品牌、共享利益等方式，支持基层社和社有企业直接出资入股领办、创办一批管理民主、制度健全、产权清晰、带动力强的“产业型、区域型、服务型”农民专业合作社，逐步清理、清退“僵尸社”、“空壳社”，推进供销社与农民专业合作社深度融合、协同发展。</w:t>
      </w:r>
    </w:p>
    <w:p w14:paraId="53601478">
      <w:pPr>
        <w:pStyle w:val="7"/>
        <w:keepNext w:val="0"/>
        <w:keepLines w:val="0"/>
        <w:pageBreakBefore w:val="0"/>
        <w:widowControl/>
        <w:kinsoku w:val="0"/>
        <w:wordWrap/>
        <w:overflowPunct/>
        <w:topLinePunct w:val="0"/>
        <w:autoSpaceDE w:val="0"/>
        <w:autoSpaceDN w:val="0"/>
        <w:bidi w:val="0"/>
        <w:adjustRightInd/>
        <w:snapToGrid/>
        <w:spacing w:line="240" w:lineRule="auto"/>
        <w:ind w:firstLine="643" w:firstLineChars="200"/>
        <w:jc w:val="both"/>
        <w:textAlignment w:val="baseline"/>
        <w:rPr>
          <w:rFonts w:hint="eastAsia" w:ascii="仿宋" w:hAnsi="仿宋" w:eastAsia="仿宋" w:cs="仿宋"/>
          <w:b w:val="0"/>
          <w:bCs w:val="0"/>
          <w:kern w:val="2"/>
          <w:sz w:val="32"/>
          <w:szCs w:val="32"/>
          <w:highlight w:val="none"/>
          <w:u w:val="none"/>
          <w:lang w:val="en-US" w:eastAsia="zh-CN" w:bidi="ar-SA"/>
        </w:rPr>
      </w:pPr>
      <w:r>
        <w:rPr>
          <w:rFonts w:hint="eastAsia" w:ascii="仿宋" w:hAnsi="仿宋" w:eastAsia="仿宋" w:cs="仿宋"/>
          <w:b/>
          <w:bCs/>
          <w:kern w:val="2"/>
          <w:sz w:val="32"/>
          <w:szCs w:val="32"/>
          <w:highlight w:val="none"/>
          <w:u w:val="none"/>
          <w:lang w:val="en-US" w:eastAsia="zh-CN" w:bidi="ar-SA"/>
        </w:rPr>
        <w:t>3.组建农村合作经济组织联合会。</w:t>
      </w:r>
      <w:r>
        <w:rPr>
          <w:rFonts w:hint="eastAsia" w:ascii="仿宋" w:hAnsi="仿宋" w:eastAsia="仿宋" w:cs="仿宋"/>
          <w:b w:val="0"/>
          <w:bCs w:val="0"/>
          <w:kern w:val="2"/>
          <w:sz w:val="32"/>
          <w:szCs w:val="32"/>
          <w:highlight w:val="none"/>
          <w:u w:val="none"/>
          <w:lang w:val="en-US" w:eastAsia="zh-CN" w:bidi="ar-SA"/>
        </w:rPr>
        <w:t>充分发挥供销合作社的网络和资源优势，坚持自主自愿的原则，积极吸纳农村各类合作经济组织和为农服务组织加入联合会。主动加强与政府涉农部门、科研单位、农业产业化龙头企业、农村各类合作经济组织、生产经营大户的合作与联合，扩大联合会的组织网络，实现各方互相支持、互相促进、共同发展，促进农业增效、农民增收。</w:t>
      </w:r>
    </w:p>
    <w:p w14:paraId="77ED36F2">
      <w:pPr>
        <w:keepNext w:val="0"/>
        <w:keepLines w:val="0"/>
        <w:pageBreakBefore w:val="0"/>
        <w:widowControl/>
        <w:kinsoku w:val="0"/>
        <w:wordWrap/>
        <w:overflowPunct/>
        <w:topLinePunct w:val="0"/>
        <w:autoSpaceDE w:val="0"/>
        <w:autoSpaceDN w:val="0"/>
        <w:bidi w:val="0"/>
        <w:adjustRightInd/>
        <w:snapToGrid/>
        <w:spacing w:line="240" w:lineRule="auto"/>
        <w:ind w:left="0" w:firstLine="643" w:firstLineChars="200"/>
        <w:jc w:val="both"/>
        <w:textAlignment w:val="baseline"/>
        <w:rPr>
          <w:rFonts w:hint="eastAsia" w:ascii="仿宋" w:hAnsi="仿宋" w:eastAsia="仿宋" w:cs="仿宋"/>
          <w:b w:val="0"/>
          <w:bCs w:val="0"/>
          <w:sz w:val="32"/>
          <w:szCs w:val="32"/>
          <w:highlight w:val="none"/>
          <w:u w:val="none"/>
          <w:lang w:val="en-US" w:eastAsia="zh-CN"/>
        </w:rPr>
      </w:pPr>
      <w:r>
        <w:rPr>
          <w:rFonts w:hint="eastAsia" w:ascii="仿宋" w:hAnsi="仿宋" w:eastAsia="仿宋" w:cs="仿宋"/>
          <w:b/>
          <w:bCs/>
          <w:sz w:val="32"/>
          <w:szCs w:val="32"/>
          <w:highlight w:val="none"/>
          <w:u w:val="none"/>
          <w:lang w:val="en-US" w:eastAsia="zh-CN"/>
        </w:rPr>
        <w:t>4.强化“两个到户”联农带农。</w:t>
      </w:r>
      <w:r>
        <w:rPr>
          <w:rFonts w:hint="eastAsia" w:ascii="仿宋" w:hAnsi="仿宋" w:eastAsia="仿宋" w:cs="仿宋"/>
          <w:b w:val="0"/>
          <w:bCs w:val="0"/>
          <w:sz w:val="32"/>
          <w:szCs w:val="32"/>
          <w:highlight w:val="none"/>
          <w:u w:val="none"/>
          <w:lang w:val="en-US" w:eastAsia="zh-CN"/>
        </w:rPr>
        <w:t>推进联结到户、服务到户，积极组织农民入社，以发展合作经济形式推进强村富民，使入社农户普遍享受供销合作社各经营环节的让利优惠，降低生产生活成本，推进农村集体经济发展。因地制宜推广土地托管+农户保底收益+村集体固定收益、订单收购+分红、农民入股+保底收益+按股分红等多种利益联结方式，切实保障农民经济效益。推动基层社与村集体共育经营主体、共建发展项目，实现村集体、供销合作社、小农户共赢发展，将综合服务功能与经济发展融为一体，成为村集体经济发展扩大和农民共同富裕的重要载体。</w:t>
      </w:r>
    </w:p>
    <w:tbl>
      <w:tblPr>
        <w:tblStyle w:val="13"/>
        <w:tblpPr w:leftFromText="180" w:rightFromText="180" w:vertAnchor="text" w:horzAnchor="page" w:tblpX="1816" w:tblpY="162"/>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74D92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522" w:type="dxa"/>
            <w:noWrap w:val="0"/>
            <w:vAlign w:val="top"/>
          </w:tcPr>
          <w:p w14:paraId="28CB0358">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default" w:ascii="仿宋_GB2312" w:hAnsi="仿宋_GB2312" w:eastAsia="黑体" w:cs="仿宋_GB2312"/>
                <w:b w:val="0"/>
                <w:bCs w:val="0"/>
                <w:sz w:val="32"/>
                <w:szCs w:val="32"/>
                <w:highlight w:val="none"/>
                <w:u w:val="none"/>
                <w:vertAlign w:val="baseline"/>
                <w:lang w:val="en-US" w:eastAsia="zh-CN"/>
              </w:rPr>
            </w:pPr>
            <w:r>
              <w:rPr>
                <w:rFonts w:hint="eastAsia" w:ascii="黑体" w:hAnsi="黑体" w:eastAsia="黑体" w:cs="黑体"/>
                <w:b w:val="0"/>
                <w:bCs w:val="0"/>
                <w:sz w:val="32"/>
                <w:szCs w:val="32"/>
                <w:highlight w:val="none"/>
                <w:u w:val="none"/>
                <w:vertAlign w:val="baseline"/>
                <w:lang w:val="en-US" w:eastAsia="zh-CN"/>
              </w:rPr>
              <w:t>项目专栏</w:t>
            </w:r>
          </w:p>
        </w:tc>
      </w:tr>
      <w:tr w14:paraId="72FF6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trPr>
        <w:tc>
          <w:tcPr>
            <w:tcW w:w="8522" w:type="dxa"/>
            <w:noWrap w:val="0"/>
            <w:vAlign w:val="top"/>
          </w:tcPr>
          <w:p w14:paraId="26A18B4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b w:val="0"/>
                <w:bCs w:val="0"/>
                <w:snapToGrid w:val="0"/>
                <w:color w:val="auto"/>
                <w:spacing w:val="0"/>
                <w:kern w:val="0"/>
                <w:sz w:val="32"/>
                <w:szCs w:val="32"/>
                <w:highlight w:val="none"/>
                <w:u w:val="none"/>
                <w:lang w:val="en-US" w:eastAsia="zh-CN" w:bidi="ar"/>
              </w:rPr>
            </w:pPr>
            <w:r>
              <w:rPr>
                <w:rFonts w:hint="eastAsia" w:ascii="黑体" w:hAnsi="黑体" w:eastAsia="黑体" w:cs="黑体"/>
                <w:b w:val="0"/>
                <w:bCs w:val="0"/>
                <w:snapToGrid w:val="0"/>
                <w:color w:val="auto"/>
                <w:spacing w:val="0"/>
                <w:kern w:val="0"/>
                <w:sz w:val="32"/>
                <w:szCs w:val="32"/>
                <w:highlight w:val="none"/>
                <w:u w:val="none"/>
                <w:lang w:val="en-US" w:eastAsia="zh-CN" w:bidi="ar"/>
              </w:rPr>
              <w:t>鄂城区供销合作社为农服务中心项目:</w:t>
            </w:r>
            <w:r>
              <w:rPr>
                <w:rFonts w:hint="eastAsia" w:ascii="仿宋" w:hAnsi="仿宋" w:eastAsia="仿宋" w:cs="仿宋"/>
                <w:b w:val="0"/>
                <w:bCs w:val="0"/>
                <w:sz w:val="32"/>
                <w:szCs w:val="32"/>
                <w:highlight w:val="none"/>
                <w:u w:val="none"/>
                <w:lang w:val="en-US" w:eastAsia="zh-CN"/>
              </w:rPr>
              <w:t>完成集农业生产服务、流通服务、农产品加工服务于一体的综合性服务平台建设，提供农资供应、农机作业、农业技术培训、农机检测报废、农机手驾驶证培训、粮食烘干、病虫害防治、智慧农业等全链条农业社会化服务，搭建农产品上行和工业品下行双向流通网络，建设冷链物流、仓储、电商运营等基础设施。</w:t>
            </w:r>
          </w:p>
          <w:p w14:paraId="1AF512D6">
            <w:pPr>
              <w:pStyle w:val="16"/>
              <w:keepNext w:val="0"/>
              <w:keepLines w:val="0"/>
              <w:pageBreakBefore w:val="0"/>
              <w:widowControl w:val="0"/>
              <w:kinsoku/>
              <w:wordWrap/>
              <w:overflowPunct/>
              <w:topLinePunct w:val="0"/>
              <w:bidi w:val="0"/>
              <w:adjustRightInd/>
              <w:snapToGrid/>
              <w:spacing w:line="240" w:lineRule="auto"/>
              <w:ind w:firstLine="640" w:firstLineChars="200"/>
              <w:jc w:val="both"/>
              <w:textAlignment w:val="auto"/>
              <w:rPr>
                <w:rFonts w:hint="default" w:ascii="仿宋" w:hAnsi="仿宋" w:eastAsia="仿宋" w:cs="仿宋"/>
                <w:b w:val="0"/>
                <w:bCs w:val="0"/>
                <w:color w:val="auto"/>
                <w:kern w:val="2"/>
                <w:sz w:val="32"/>
                <w:szCs w:val="32"/>
                <w:highlight w:val="none"/>
                <w:u w:val="none"/>
                <w:lang w:val="en-US" w:eastAsia="zh-CN" w:bidi="ar-SA"/>
              </w:rPr>
            </w:pPr>
            <w:r>
              <w:rPr>
                <w:rFonts w:hint="eastAsia" w:ascii="黑体" w:hAnsi="黑体" w:eastAsia="黑体" w:cs="黑体"/>
                <w:sz w:val="32"/>
                <w:szCs w:val="32"/>
                <w:highlight w:val="none"/>
                <w:u w:val="none"/>
                <w:lang w:val="en-US" w:eastAsia="zh-CN"/>
              </w:rPr>
              <w:t>小港供销三农服务中心升级改造项目:</w:t>
            </w:r>
            <w:r>
              <w:rPr>
                <w:rFonts w:hint="eastAsia" w:ascii="仿宋" w:hAnsi="仿宋" w:eastAsia="仿宋" w:cs="仿宋"/>
                <w:b w:val="0"/>
                <w:bCs w:val="0"/>
                <w:color w:val="auto"/>
                <w:kern w:val="2"/>
                <w:sz w:val="32"/>
                <w:szCs w:val="32"/>
                <w:highlight w:val="none"/>
                <w:u w:val="none"/>
                <w:lang w:val="en-US" w:eastAsia="zh-CN" w:bidi="ar-SA"/>
              </w:rPr>
              <w:t>升级日用品超市、农资仓库等，建设农机服务中心，停机仓库等，为农机提供日常维修保养和调度服务，建设社会化服务信息中心等。</w:t>
            </w:r>
          </w:p>
        </w:tc>
      </w:tr>
    </w:tbl>
    <w:p w14:paraId="3DEB12C7">
      <w:pPr>
        <w:pStyle w:val="3"/>
        <w:bidi w:val="0"/>
        <w:rPr>
          <w:rFonts w:hint="eastAsia"/>
          <w:lang w:val="en-US" w:eastAsia="zh-CN"/>
        </w:rPr>
      </w:pPr>
      <w:bookmarkStart w:id="52" w:name="_Toc21462"/>
      <w:r>
        <w:rPr>
          <w:rFonts w:hint="eastAsia"/>
          <w:lang w:val="en-US" w:eastAsia="zh-CN"/>
        </w:rPr>
        <w:t>十二、深化社资社企改革，提升供销系统核心竞争力</w:t>
      </w:r>
      <w:bookmarkEnd w:id="52"/>
    </w:p>
    <w:p w14:paraId="13255DCC">
      <w:pPr>
        <w:pStyle w:val="4"/>
        <w:bidi w:val="0"/>
        <w:ind w:firstLine="880"/>
        <w:rPr>
          <w:rFonts w:hint="eastAsia" w:ascii="Arial" w:hAnsi="Arial"/>
          <w:b w:val="0"/>
          <w:lang w:val="en-US" w:eastAsia="zh-CN"/>
        </w:rPr>
      </w:pPr>
      <w:bookmarkStart w:id="53" w:name="_Toc3899"/>
      <w:r>
        <w:rPr>
          <w:rFonts w:hint="eastAsia" w:ascii="Arial" w:hAnsi="Arial"/>
          <w:b w:val="0"/>
          <w:lang w:val="en-US" w:eastAsia="zh-CN"/>
        </w:rPr>
        <w:t>（一）任务目标</w:t>
      </w:r>
      <w:bookmarkEnd w:id="53"/>
    </w:p>
    <w:p w14:paraId="7CB3416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jc w:val="both"/>
        <w:textAlignment w:val="auto"/>
        <w:rPr>
          <w:rFonts w:hint="eastAsia" w:ascii="仿宋" w:hAnsi="仿宋" w:eastAsia="仿宋" w:cs="仿宋"/>
          <w:b w:val="0"/>
          <w:bCs w:val="0"/>
          <w:sz w:val="32"/>
          <w:szCs w:val="32"/>
          <w:highlight w:val="none"/>
          <w:u w:val="none"/>
          <w:lang w:val="en-US" w:eastAsia="zh-CN"/>
        </w:rPr>
      </w:pPr>
      <w:r>
        <w:rPr>
          <w:rFonts w:hint="eastAsia" w:ascii="仿宋" w:hAnsi="仿宋" w:eastAsia="仿宋" w:cs="仿宋"/>
          <w:b w:val="0"/>
          <w:bCs w:val="0"/>
          <w:sz w:val="32"/>
          <w:szCs w:val="32"/>
          <w:highlight w:val="none"/>
          <w:u w:val="none"/>
          <w:lang w:val="en-US" w:eastAsia="zh-CN"/>
        </w:rPr>
        <w:t>破除体制机制障碍，实现社有资本保值增值与为农服务能力双提升。厘清权责边界，完善治理体系，健全资产管理，筑牢核心主业，激发内生动力，将社有企业打造成为以产权清晰、权责明确、政企分开、管理科学为基础，以完善公司治理为重点，以服务“三农”为根本宗旨，在全面推进乡村振兴中发挥骨干作用的一流现代企业。“十五五”期末，全市系统社有企业为农服务主责主业更加突出，社有龙头企业引领带动作用大幅增强，社有企业营业收入稳步提升，资产负债率控制在60%以内。</w:t>
      </w:r>
    </w:p>
    <w:p w14:paraId="6C534BF7">
      <w:pPr>
        <w:pStyle w:val="4"/>
        <w:bidi w:val="0"/>
        <w:ind w:firstLine="880"/>
        <w:rPr>
          <w:rFonts w:hint="default" w:ascii="Arial" w:hAnsi="Arial"/>
          <w:b w:val="0"/>
          <w:lang w:val="en-US" w:eastAsia="zh-CN"/>
        </w:rPr>
      </w:pPr>
      <w:bookmarkStart w:id="54" w:name="_Toc29953"/>
      <w:r>
        <w:rPr>
          <w:rFonts w:hint="eastAsia" w:ascii="Arial" w:hAnsi="Arial"/>
          <w:b w:val="0"/>
          <w:lang w:val="en-US" w:eastAsia="zh-CN"/>
        </w:rPr>
        <w:t>（二）分年度计划</w:t>
      </w:r>
      <w:bookmarkEnd w:id="54"/>
    </w:p>
    <w:p w14:paraId="7BF680D0">
      <w:pPr>
        <w:pStyle w:val="2"/>
        <w:keepNext w:val="0"/>
        <w:keepLines w:val="0"/>
        <w:pageBreakBefore w:val="0"/>
        <w:wordWrap/>
        <w:overflowPunct/>
        <w:topLinePunct w:val="0"/>
        <w:bidi w:val="0"/>
        <w:adjustRightInd/>
        <w:snapToGrid/>
        <w:spacing w:line="240" w:lineRule="auto"/>
        <w:ind w:firstLine="640" w:firstLineChars="200"/>
        <w:jc w:val="both"/>
        <w:rPr>
          <w:rFonts w:hint="eastAsia" w:ascii="仿宋" w:hAnsi="仿宋" w:eastAsia="仿宋" w:cs="仿宋"/>
          <w:b w:val="0"/>
          <w:bCs w:val="0"/>
          <w:kern w:val="2"/>
          <w:sz w:val="32"/>
          <w:szCs w:val="32"/>
          <w:highlight w:val="none"/>
          <w:u w:val="none"/>
          <w:lang w:val="en-US" w:eastAsia="zh-CN" w:bidi="ar-SA"/>
        </w:rPr>
      </w:pPr>
      <w:r>
        <w:rPr>
          <w:rFonts w:hint="eastAsia" w:ascii="仿宋" w:hAnsi="仿宋" w:eastAsia="仿宋" w:cs="仿宋"/>
          <w:b w:val="0"/>
          <w:bCs w:val="0"/>
          <w:kern w:val="2"/>
          <w:sz w:val="32"/>
          <w:szCs w:val="32"/>
          <w:highlight w:val="none"/>
          <w:u w:val="none"/>
          <w:lang w:val="en-US" w:eastAsia="zh-CN" w:bidi="ar-SA"/>
        </w:rPr>
        <w:t>2026年—2027年：制定并出台社资社企改革总体方案及配套清单。启动“政事分开、社企分开”工作，完成县级社主任兼职清理。启动社有企业“三项制度”改革试点。完成资产清查与信息化平台初步搭建。</w:t>
      </w:r>
    </w:p>
    <w:p w14:paraId="680D6647">
      <w:pPr>
        <w:pStyle w:val="2"/>
        <w:keepNext w:val="0"/>
        <w:keepLines w:val="0"/>
        <w:pageBreakBefore w:val="0"/>
        <w:wordWrap/>
        <w:overflowPunct/>
        <w:topLinePunct w:val="0"/>
        <w:bidi w:val="0"/>
        <w:adjustRightInd/>
        <w:snapToGrid/>
        <w:spacing w:line="240" w:lineRule="auto"/>
        <w:ind w:firstLine="640" w:firstLineChars="200"/>
        <w:jc w:val="both"/>
        <w:rPr>
          <w:rFonts w:hint="eastAsia" w:ascii="仿宋" w:hAnsi="仿宋" w:eastAsia="仿宋" w:cs="仿宋"/>
          <w:b w:val="0"/>
          <w:bCs w:val="0"/>
          <w:kern w:val="2"/>
          <w:sz w:val="32"/>
          <w:szCs w:val="32"/>
          <w:highlight w:val="none"/>
          <w:u w:val="none"/>
          <w:lang w:val="en-US" w:eastAsia="zh-CN" w:bidi="ar-SA"/>
        </w:rPr>
      </w:pPr>
      <w:r>
        <w:rPr>
          <w:rFonts w:hint="eastAsia" w:ascii="仿宋" w:hAnsi="仿宋" w:eastAsia="仿宋" w:cs="仿宋"/>
          <w:b w:val="0"/>
          <w:bCs w:val="0"/>
          <w:kern w:val="2"/>
          <w:sz w:val="32"/>
          <w:szCs w:val="32"/>
          <w:highlight w:val="none"/>
          <w:u w:val="none"/>
          <w:lang w:val="en-US" w:eastAsia="zh-CN" w:bidi="ar-SA"/>
        </w:rPr>
        <w:t>2028年—2029年：全面推行“社企分开”，建立社有资产专业化监管与市场化运营机制。在重点社有企业全面推行“三项制度”改革。社有资产监管平台投入运行，实现动态监测。启动低效闲置资产盘活计划。</w:t>
      </w:r>
    </w:p>
    <w:p w14:paraId="41133334">
      <w:pPr>
        <w:pStyle w:val="2"/>
        <w:keepNext w:val="0"/>
        <w:keepLines w:val="0"/>
        <w:pageBreakBefore w:val="0"/>
        <w:wordWrap/>
        <w:overflowPunct/>
        <w:topLinePunct w:val="0"/>
        <w:bidi w:val="0"/>
        <w:adjustRightInd/>
        <w:snapToGrid/>
        <w:spacing w:line="240" w:lineRule="auto"/>
        <w:ind w:firstLine="640" w:firstLineChars="200"/>
        <w:jc w:val="both"/>
        <w:rPr>
          <w:rFonts w:hint="eastAsia" w:ascii="仿宋" w:hAnsi="仿宋" w:eastAsia="仿宋" w:cs="仿宋"/>
          <w:b w:val="0"/>
          <w:bCs w:val="0"/>
          <w:kern w:val="2"/>
          <w:sz w:val="32"/>
          <w:szCs w:val="32"/>
          <w:highlight w:val="none"/>
          <w:u w:val="none"/>
          <w:lang w:val="en-US" w:eastAsia="zh-CN" w:bidi="ar-SA"/>
        </w:rPr>
      </w:pPr>
      <w:r>
        <w:rPr>
          <w:rFonts w:hint="eastAsia" w:ascii="仿宋" w:hAnsi="仿宋" w:eastAsia="仿宋" w:cs="仿宋"/>
          <w:b w:val="0"/>
          <w:bCs w:val="0"/>
          <w:kern w:val="2"/>
          <w:sz w:val="32"/>
          <w:szCs w:val="32"/>
          <w:highlight w:val="none"/>
          <w:u w:val="none"/>
          <w:lang w:val="en-US" w:eastAsia="zh-CN" w:bidi="ar-SA"/>
        </w:rPr>
        <w:t>2030年：社资社企改革目标全面实现，供销集团成为运作规范、竞争力强的市场主体，社有资产实现保值增值，核心主业突出，为农服务根基牢固。</w:t>
      </w:r>
    </w:p>
    <w:p w14:paraId="36E881FC">
      <w:pPr>
        <w:pStyle w:val="4"/>
        <w:bidi w:val="0"/>
        <w:ind w:firstLine="880"/>
        <w:rPr>
          <w:rFonts w:hint="eastAsia" w:ascii="Arial" w:hAnsi="Arial"/>
          <w:b w:val="0"/>
          <w:lang w:val="en-US" w:eastAsia="zh-CN"/>
        </w:rPr>
      </w:pPr>
      <w:bookmarkStart w:id="55" w:name="_Toc22140"/>
      <w:r>
        <w:rPr>
          <w:rFonts w:hint="eastAsia" w:ascii="Arial" w:hAnsi="Arial"/>
          <w:b w:val="0"/>
          <w:lang w:val="en-US" w:eastAsia="zh-CN"/>
        </w:rPr>
        <w:t>（三）主要举措</w:t>
      </w:r>
      <w:bookmarkEnd w:id="55"/>
    </w:p>
    <w:p w14:paraId="431721A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3" w:firstLineChars="200"/>
        <w:jc w:val="both"/>
        <w:textAlignment w:val="auto"/>
        <w:rPr>
          <w:rFonts w:hint="eastAsia" w:ascii="仿宋" w:hAnsi="仿宋" w:eastAsia="仿宋" w:cs="仿宋"/>
          <w:b w:val="0"/>
          <w:bCs w:val="0"/>
          <w:sz w:val="32"/>
          <w:szCs w:val="32"/>
          <w:highlight w:val="none"/>
          <w:u w:val="none"/>
          <w:lang w:val="en-US" w:eastAsia="zh-CN"/>
        </w:rPr>
      </w:pPr>
      <w:r>
        <w:rPr>
          <w:rFonts w:hint="eastAsia" w:ascii="仿宋" w:hAnsi="仿宋" w:eastAsia="仿宋" w:cs="仿宋"/>
          <w:b/>
          <w:bCs/>
          <w:sz w:val="32"/>
          <w:szCs w:val="32"/>
          <w:highlight w:val="none"/>
          <w:u w:val="none"/>
          <w:lang w:val="en-US" w:eastAsia="zh-CN"/>
        </w:rPr>
        <w:t>1.优化运营供销集团，推动“管资产”向“管资本”转变。</w:t>
      </w:r>
      <w:r>
        <w:rPr>
          <w:rFonts w:hint="default" w:ascii="仿宋" w:hAnsi="仿宋" w:eastAsia="仿宋" w:cs="仿宋"/>
          <w:b w:val="0"/>
          <w:bCs w:val="0"/>
          <w:sz w:val="32"/>
          <w:szCs w:val="32"/>
          <w:highlight w:val="none"/>
          <w:u w:val="none"/>
          <w:lang w:val="en-US" w:eastAsia="zh-CN"/>
        </w:rPr>
        <w:t>供销集团集中持有、专业化运营社有资产，通过股权重组、资产划转整合分散资源，聚焦农资流通、农产品加工、再生资源等核心板块培育龙头企业。推行“实业+资本”双轮驱动，推进资产证券化与低效资产重组盘活，引入社会资本优化股权结构。健全风险防控体系，重点加强资金、运营、投资领域管控，实现资金全景可视与智能风控，聘请专业团队应对法律与市场风险。到“十五五”末，供销集团力争实现资产总额突破3亿元，年营业收入稳步提升，利润总额超千万元，培育2-3家细分领域龙头企业，社有资本布局更加优化，核心竞争力显著增强，成为服务全市乡村振兴的骨干力量和示范标杆。</w:t>
      </w:r>
    </w:p>
    <w:p w14:paraId="1C6CCAB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3" w:firstLineChars="200"/>
        <w:jc w:val="both"/>
        <w:textAlignment w:val="auto"/>
        <w:rPr>
          <w:rFonts w:hint="default" w:ascii="仿宋" w:hAnsi="仿宋" w:eastAsia="仿宋" w:cs="仿宋"/>
          <w:b w:val="0"/>
          <w:bCs w:val="0"/>
          <w:sz w:val="32"/>
          <w:szCs w:val="32"/>
          <w:highlight w:val="none"/>
          <w:u w:val="none"/>
          <w:lang w:val="en-US" w:eastAsia="zh-CN"/>
        </w:rPr>
      </w:pPr>
      <w:r>
        <w:rPr>
          <w:rFonts w:hint="eastAsia" w:ascii="仿宋" w:hAnsi="仿宋" w:eastAsia="仿宋" w:cs="仿宋"/>
          <w:b/>
          <w:bCs/>
          <w:sz w:val="32"/>
          <w:szCs w:val="32"/>
          <w:highlight w:val="none"/>
          <w:u w:val="none"/>
          <w:lang w:val="en-US" w:eastAsia="zh-CN"/>
        </w:rPr>
        <w:t>2.</w:t>
      </w:r>
      <w:r>
        <w:rPr>
          <w:rFonts w:hint="default" w:ascii="仿宋" w:hAnsi="仿宋" w:eastAsia="仿宋" w:cs="仿宋"/>
          <w:b/>
          <w:bCs/>
          <w:sz w:val="32"/>
          <w:szCs w:val="32"/>
          <w:highlight w:val="none"/>
          <w:u w:val="none"/>
          <w:lang w:val="en-US" w:eastAsia="zh-CN"/>
        </w:rPr>
        <w:t>推进治理机制改革，构建现代企业制度。</w:t>
      </w:r>
      <w:r>
        <w:rPr>
          <w:rFonts w:hint="default" w:ascii="仿宋" w:hAnsi="仿宋" w:eastAsia="仿宋" w:cs="仿宋"/>
          <w:b w:val="0"/>
          <w:bCs w:val="0"/>
          <w:sz w:val="32"/>
          <w:szCs w:val="32"/>
          <w:highlight w:val="none"/>
          <w:u w:val="none"/>
          <w:lang w:val="en-US" w:eastAsia="zh-CN"/>
        </w:rPr>
        <w:t>构建“理事会+社资委+供销集团+业务企业”四级治理体系，制定授权清单，明确各层级权责边界，赋予企业经营、用工、分配等充分自主权。完善现代企业制度，实现“党建入章程”全覆盖，健全“三重一大”决策机制，引入专业顾问提升决策科学性。</w:t>
      </w:r>
      <w:r>
        <w:rPr>
          <w:rFonts w:hint="eastAsia" w:ascii="仿宋" w:hAnsi="仿宋" w:eastAsia="仿宋" w:cs="仿宋"/>
          <w:b w:val="0"/>
          <w:bCs w:val="0"/>
          <w:sz w:val="32"/>
          <w:szCs w:val="32"/>
          <w:highlight w:val="none"/>
          <w:u w:val="none"/>
          <w:lang w:val="en-US" w:eastAsia="zh-CN"/>
        </w:rPr>
        <w:t>制定现代企业绩效考核</w:t>
      </w:r>
      <w:r>
        <w:rPr>
          <w:rFonts w:hint="default" w:ascii="仿宋" w:hAnsi="仿宋" w:eastAsia="仿宋" w:cs="仿宋"/>
          <w:b w:val="0"/>
          <w:bCs w:val="0"/>
          <w:sz w:val="32"/>
          <w:szCs w:val="32"/>
          <w:highlight w:val="none"/>
          <w:u w:val="none"/>
          <w:lang w:val="en-US" w:eastAsia="zh-CN"/>
        </w:rPr>
        <w:t>，</w:t>
      </w:r>
      <w:r>
        <w:rPr>
          <w:rFonts w:hint="eastAsia" w:ascii="仿宋" w:hAnsi="仿宋" w:eastAsia="仿宋" w:cs="仿宋"/>
          <w:b w:val="0"/>
          <w:bCs w:val="0"/>
          <w:sz w:val="32"/>
          <w:szCs w:val="32"/>
          <w:highlight w:val="none"/>
          <w:u w:val="none"/>
          <w:lang w:val="en-US" w:eastAsia="zh-CN"/>
        </w:rPr>
        <w:t>优化经营人才梯队建设，</w:t>
      </w:r>
      <w:r>
        <w:rPr>
          <w:rFonts w:hint="default" w:ascii="仿宋" w:hAnsi="仿宋" w:eastAsia="仿宋" w:cs="仿宋"/>
          <w:b w:val="0"/>
          <w:bCs w:val="0"/>
          <w:sz w:val="32"/>
          <w:szCs w:val="32"/>
          <w:highlight w:val="none"/>
          <w:u w:val="none"/>
          <w:lang w:val="en-US" w:eastAsia="zh-CN"/>
        </w:rPr>
        <w:t>实现从“行政管控”到“市场赋能”的转变。</w:t>
      </w:r>
    </w:p>
    <w:p w14:paraId="285D557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3" w:firstLineChars="200"/>
        <w:jc w:val="both"/>
        <w:textAlignment w:val="auto"/>
        <w:rPr>
          <w:rFonts w:hint="eastAsia" w:ascii="仿宋" w:hAnsi="仿宋" w:eastAsia="仿宋" w:cs="仿宋"/>
          <w:b w:val="0"/>
          <w:bCs w:val="0"/>
          <w:sz w:val="32"/>
          <w:szCs w:val="32"/>
          <w:highlight w:val="none"/>
          <w:u w:val="none"/>
          <w:lang w:val="en-US" w:eastAsia="zh-CN"/>
        </w:rPr>
      </w:pPr>
      <w:r>
        <w:rPr>
          <w:rFonts w:hint="eastAsia" w:ascii="仿宋" w:hAnsi="仿宋" w:eastAsia="仿宋" w:cs="仿宋"/>
          <w:b/>
          <w:bCs/>
          <w:sz w:val="32"/>
          <w:szCs w:val="32"/>
          <w:highlight w:val="none"/>
          <w:u w:val="none"/>
          <w:lang w:val="en-US" w:eastAsia="zh-CN"/>
        </w:rPr>
        <w:t>3.完善监管体系改革，实现“精准高效”监管。</w:t>
      </w:r>
      <w:r>
        <w:rPr>
          <w:rFonts w:hint="eastAsia" w:ascii="仿宋" w:hAnsi="仿宋" w:eastAsia="仿宋" w:cs="仿宋"/>
          <w:b w:val="0"/>
          <w:bCs w:val="0"/>
          <w:sz w:val="32"/>
          <w:szCs w:val="32"/>
          <w:highlight w:val="none"/>
          <w:u w:val="none"/>
          <w:lang w:val="en-US" w:eastAsia="zh-CN"/>
        </w:rPr>
        <w:t>持续推进社有资产</w:t>
      </w:r>
      <w:r>
        <w:rPr>
          <w:rFonts w:hint="eastAsia" w:ascii="仿宋" w:hAnsi="仿宋" w:eastAsia="仿宋" w:cs="仿宋"/>
          <w:b w:val="0"/>
          <w:bCs w:val="0"/>
          <w:color w:val="auto"/>
          <w:sz w:val="32"/>
          <w:szCs w:val="32"/>
          <w:highlight w:val="none"/>
          <w:u w:val="none"/>
          <w:lang w:val="en-US" w:eastAsia="zh-CN"/>
        </w:rPr>
        <w:t>“建档立卡”工程，扎实做好“确认、确权、确值”工作。推进社有资产“三变”，对</w:t>
      </w:r>
      <w:r>
        <w:rPr>
          <w:rFonts w:hint="eastAsia" w:ascii="仿宋" w:hAnsi="仿宋" w:eastAsia="仿宋" w:cs="仿宋"/>
          <w:b w:val="0"/>
          <w:bCs w:val="0"/>
          <w:sz w:val="32"/>
          <w:szCs w:val="32"/>
          <w:highlight w:val="none"/>
          <w:u w:val="none"/>
          <w:lang w:val="en-US" w:eastAsia="zh-CN"/>
        </w:rPr>
        <w:t>资金使用、项目推进等关键环节施行流程可视化监控和绩效评估。建立“管放平衡”的监管机制，围绕社有资产监管、招标采购、资金使用等核心领域，明确监管边界与授权清单，做到“管而不死、放而不乱”。通过常态化内控审计排查风险，用制度管人、流程管事。优化考核评价体系，构建“效益+服务”双导向机制。</w:t>
      </w:r>
      <w:r>
        <w:rPr>
          <w:rFonts w:hint="default" w:ascii="仿宋" w:hAnsi="仿宋" w:eastAsia="仿宋" w:cs="仿宋"/>
          <w:b w:val="0"/>
          <w:bCs w:val="0"/>
          <w:sz w:val="32"/>
          <w:szCs w:val="32"/>
          <w:highlight w:val="none"/>
          <w:u w:val="none"/>
          <w:lang w:val="en-US" w:eastAsia="zh-CN"/>
        </w:rPr>
        <w:t>将为农服务覆盖面、农业社会化服务面积、联农带农户数、农民增收贡献度等纳入考核指标体系，引导社有企业聚焦主责主业，避免单纯追求利润的经营导向。</w:t>
      </w:r>
    </w:p>
    <w:p w14:paraId="0D829CE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3" w:firstLineChars="200"/>
        <w:jc w:val="both"/>
        <w:textAlignment w:val="auto"/>
        <w:rPr>
          <w:rFonts w:hint="eastAsia" w:ascii="仿宋" w:hAnsi="仿宋" w:eastAsia="仿宋" w:cs="仿宋"/>
          <w:b w:val="0"/>
          <w:bCs w:val="0"/>
          <w:sz w:val="32"/>
          <w:szCs w:val="32"/>
          <w:highlight w:val="none"/>
          <w:u w:val="none"/>
          <w:lang w:val="en-US" w:eastAsia="zh-CN"/>
        </w:rPr>
      </w:pPr>
      <w:r>
        <w:rPr>
          <w:rFonts w:hint="eastAsia" w:ascii="仿宋" w:hAnsi="仿宋" w:eastAsia="仿宋" w:cs="仿宋"/>
          <w:b/>
          <w:bCs/>
          <w:sz w:val="32"/>
          <w:szCs w:val="32"/>
          <w:highlight w:val="none"/>
          <w:u w:val="none"/>
          <w:lang w:val="en-US" w:eastAsia="zh-CN"/>
        </w:rPr>
        <w:t>4.加强产业联动改革，构建“生态聚合”发展格局。</w:t>
      </w:r>
      <w:r>
        <w:rPr>
          <w:rFonts w:hint="eastAsia" w:ascii="仿宋" w:hAnsi="仿宋" w:eastAsia="仿宋" w:cs="仿宋"/>
          <w:b w:val="0"/>
          <w:bCs w:val="0"/>
          <w:sz w:val="32"/>
          <w:szCs w:val="32"/>
          <w:highlight w:val="none"/>
          <w:u w:val="none"/>
          <w:lang w:val="en-US" w:eastAsia="zh-CN"/>
        </w:rPr>
        <w:t>以</w:t>
      </w:r>
      <w:r>
        <w:rPr>
          <w:rFonts w:hint="default" w:ascii="仿宋" w:hAnsi="仿宋" w:eastAsia="仿宋" w:cs="仿宋"/>
          <w:b w:val="0"/>
          <w:bCs w:val="0"/>
          <w:sz w:val="32"/>
          <w:szCs w:val="32"/>
          <w:highlight w:val="none"/>
          <w:u w:val="none"/>
          <w:lang w:val="en-US" w:eastAsia="zh-CN"/>
        </w:rPr>
        <w:t>社有企业为龙头，搭建“企业+基层社+农户+合作社”产业链联合体，延伸农产品加工、品牌营销等增值环节，提升产业附加值。推进一二三产融合，打造农业示范园、乡村服务综合体，整合农资供应、</w:t>
      </w:r>
      <w:r>
        <w:rPr>
          <w:rFonts w:hint="eastAsia" w:ascii="仿宋" w:hAnsi="仿宋" w:eastAsia="仿宋" w:cs="仿宋"/>
          <w:b w:val="0"/>
          <w:bCs w:val="0"/>
          <w:sz w:val="32"/>
          <w:szCs w:val="32"/>
          <w:highlight w:val="none"/>
          <w:u w:val="none"/>
          <w:lang w:val="en-US" w:eastAsia="zh-CN"/>
        </w:rPr>
        <w:t>土地托管</w:t>
      </w:r>
      <w:r>
        <w:rPr>
          <w:rFonts w:hint="default" w:ascii="仿宋" w:hAnsi="仿宋" w:eastAsia="仿宋" w:cs="仿宋"/>
          <w:b w:val="0"/>
          <w:bCs w:val="0"/>
          <w:sz w:val="32"/>
          <w:szCs w:val="32"/>
          <w:highlight w:val="none"/>
          <w:u w:val="none"/>
          <w:lang w:val="en-US" w:eastAsia="zh-CN"/>
        </w:rPr>
        <w:t>、</w:t>
      </w:r>
      <w:r>
        <w:rPr>
          <w:rFonts w:hint="eastAsia" w:ascii="仿宋" w:hAnsi="仿宋" w:eastAsia="仿宋" w:cs="仿宋"/>
          <w:b w:val="0"/>
          <w:bCs w:val="0"/>
          <w:sz w:val="32"/>
          <w:szCs w:val="32"/>
          <w:highlight w:val="none"/>
          <w:u w:val="none"/>
          <w:lang w:val="en-US" w:eastAsia="zh-CN"/>
        </w:rPr>
        <w:t>“农</w:t>
      </w:r>
      <w:r>
        <w:rPr>
          <w:rFonts w:hint="default" w:ascii="仿宋" w:hAnsi="仿宋" w:eastAsia="仿宋" w:cs="仿宋"/>
          <w:b w:val="0"/>
          <w:bCs w:val="0"/>
          <w:sz w:val="32"/>
          <w:szCs w:val="32"/>
          <w:highlight w:val="none"/>
          <w:u w:val="none"/>
          <w:lang w:val="en-US" w:eastAsia="zh-CN"/>
        </w:rPr>
        <w:t>产品</w:t>
      </w:r>
      <w:r>
        <w:rPr>
          <w:rFonts w:hint="eastAsia" w:ascii="仿宋" w:hAnsi="仿宋" w:eastAsia="仿宋" w:cs="仿宋"/>
          <w:b w:val="0"/>
          <w:bCs w:val="0"/>
          <w:sz w:val="32"/>
          <w:szCs w:val="32"/>
          <w:highlight w:val="none"/>
          <w:u w:val="none"/>
          <w:lang w:val="en-US" w:eastAsia="zh-CN"/>
        </w:rPr>
        <w:t>进城、工业品下乡”</w:t>
      </w:r>
      <w:r>
        <w:rPr>
          <w:rFonts w:hint="default" w:ascii="仿宋" w:hAnsi="仿宋" w:eastAsia="仿宋" w:cs="仿宋"/>
          <w:b w:val="0"/>
          <w:bCs w:val="0"/>
          <w:sz w:val="32"/>
          <w:szCs w:val="32"/>
          <w:highlight w:val="none"/>
          <w:u w:val="none"/>
          <w:lang w:val="en-US" w:eastAsia="zh-CN"/>
        </w:rPr>
        <w:t>，形成“生产+服务+销售”闭环生态。创新利益联结机制，将供应链收益向农户、基层社倾斜，通过分红、返利等方式让农民共享改革成果，强化社企与农民的利益绑定。</w:t>
      </w:r>
    </w:p>
    <w:tbl>
      <w:tblPr>
        <w:tblStyle w:val="13"/>
        <w:tblpPr w:leftFromText="180" w:rightFromText="180" w:vertAnchor="text" w:horzAnchor="page" w:tblpX="1816" w:tblpY="162"/>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4927A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522" w:type="dxa"/>
            <w:noWrap w:val="0"/>
            <w:vAlign w:val="top"/>
          </w:tcPr>
          <w:p w14:paraId="52EA9D81">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default" w:ascii="仿宋_GB2312" w:hAnsi="仿宋_GB2312" w:eastAsia="黑体" w:cs="仿宋_GB2312"/>
                <w:b w:val="0"/>
                <w:bCs w:val="0"/>
                <w:sz w:val="32"/>
                <w:szCs w:val="32"/>
                <w:highlight w:val="none"/>
                <w:u w:val="none"/>
                <w:vertAlign w:val="baseline"/>
                <w:lang w:val="en-US" w:eastAsia="zh-CN"/>
              </w:rPr>
            </w:pPr>
            <w:r>
              <w:rPr>
                <w:rFonts w:hint="eastAsia" w:ascii="黑体" w:hAnsi="黑体" w:eastAsia="黑体" w:cs="黑体"/>
                <w:b w:val="0"/>
                <w:bCs w:val="0"/>
                <w:sz w:val="32"/>
                <w:szCs w:val="32"/>
                <w:highlight w:val="none"/>
                <w:u w:val="none"/>
                <w:vertAlign w:val="baseline"/>
                <w:lang w:val="en-US" w:eastAsia="zh-CN"/>
              </w:rPr>
              <w:t>项目专栏</w:t>
            </w:r>
          </w:p>
        </w:tc>
      </w:tr>
      <w:tr w14:paraId="37F09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trPr>
        <w:tc>
          <w:tcPr>
            <w:tcW w:w="8522" w:type="dxa"/>
            <w:noWrap w:val="0"/>
            <w:vAlign w:val="top"/>
          </w:tcPr>
          <w:p w14:paraId="0814328A">
            <w:pPr>
              <w:keepNext w:val="0"/>
              <w:keepLines w:val="0"/>
              <w:pageBreakBefore w:val="0"/>
              <w:wordWrap/>
              <w:overflowPunct/>
              <w:topLinePunct w:val="0"/>
              <w:bidi w:val="0"/>
              <w:adjustRightInd/>
              <w:snapToGrid/>
              <w:spacing w:line="240" w:lineRule="auto"/>
              <w:ind w:firstLine="643" w:firstLineChars="200"/>
              <w:jc w:val="both"/>
              <w:rPr>
                <w:rFonts w:hint="eastAsia" w:ascii="仿宋_GB2312" w:hAnsi="仿宋_GB2312" w:eastAsia="仿宋_GB2312" w:cs="仿宋_GB2312"/>
                <w:b/>
                <w:bCs/>
                <w:sz w:val="32"/>
                <w:szCs w:val="32"/>
                <w:highlight w:val="none"/>
                <w:u w:val="none"/>
                <w:lang w:val="en-US" w:eastAsia="zh-CN"/>
              </w:rPr>
            </w:pPr>
            <w:r>
              <w:rPr>
                <w:rFonts w:hint="eastAsia" w:ascii="仿宋" w:hAnsi="仿宋" w:eastAsia="仿宋" w:cs="仿宋"/>
                <w:b/>
                <w:bCs/>
                <w:sz w:val="32"/>
                <w:szCs w:val="32"/>
                <w:highlight w:val="none"/>
                <w:u w:val="none"/>
                <w:lang w:val="en-US" w:eastAsia="zh-CN"/>
              </w:rPr>
              <w:fldChar w:fldCharType="begin"/>
            </w:r>
            <w:r>
              <w:rPr>
                <w:rFonts w:hint="eastAsia" w:ascii="仿宋" w:hAnsi="仿宋" w:eastAsia="仿宋" w:cs="仿宋"/>
                <w:b/>
                <w:bCs/>
                <w:sz w:val="32"/>
                <w:szCs w:val="32"/>
                <w:highlight w:val="none"/>
                <w:u w:val="none"/>
                <w:lang w:val="en-US" w:eastAsia="zh-CN"/>
              </w:rPr>
              <w:instrText xml:space="preserve"> HYPERLINK \l _Toc4460 </w:instrText>
            </w:r>
            <w:r>
              <w:rPr>
                <w:rFonts w:hint="eastAsia" w:ascii="仿宋" w:hAnsi="仿宋" w:eastAsia="仿宋" w:cs="仿宋"/>
                <w:b/>
                <w:bCs/>
                <w:sz w:val="32"/>
                <w:szCs w:val="32"/>
                <w:highlight w:val="none"/>
                <w:u w:val="none"/>
                <w:lang w:val="en-US" w:eastAsia="zh-CN"/>
              </w:rPr>
              <w:fldChar w:fldCharType="separate"/>
            </w:r>
            <w:r>
              <w:rPr>
                <w:rFonts w:hint="eastAsia" w:ascii="仿宋" w:hAnsi="仿宋" w:eastAsia="仿宋" w:cs="仿宋"/>
                <w:b/>
                <w:bCs/>
                <w:sz w:val="32"/>
                <w:szCs w:val="32"/>
                <w:highlight w:val="none"/>
                <w:u w:val="none"/>
                <w:lang w:val="en-US" w:eastAsia="zh-CN"/>
              </w:rPr>
              <w:t>推进“大财资”改革试点工程</w:t>
            </w:r>
            <w:r>
              <w:rPr>
                <w:rFonts w:hint="eastAsia" w:ascii="仿宋" w:hAnsi="仿宋" w:eastAsia="仿宋" w:cs="仿宋"/>
                <w:b/>
                <w:bCs/>
                <w:sz w:val="32"/>
                <w:szCs w:val="32"/>
                <w:highlight w:val="none"/>
                <w:u w:val="none"/>
                <w:lang w:val="en-US" w:eastAsia="zh-CN"/>
              </w:rPr>
              <w:fldChar w:fldCharType="end"/>
            </w:r>
          </w:p>
          <w:p w14:paraId="06CB4D0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3" w:firstLineChars="200"/>
              <w:jc w:val="both"/>
              <w:textAlignment w:val="auto"/>
              <w:rPr>
                <w:rFonts w:hint="eastAsia" w:ascii="仿宋" w:hAnsi="仿宋" w:eastAsia="仿宋" w:cs="仿宋"/>
                <w:b w:val="0"/>
                <w:bCs w:val="0"/>
                <w:sz w:val="32"/>
                <w:szCs w:val="32"/>
                <w:highlight w:val="none"/>
                <w:u w:val="none"/>
                <w:lang w:val="en-US" w:eastAsia="zh-CN"/>
              </w:rPr>
            </w:pPr>
            <w:r>
              <w:rPr>
                <w:rFonts w:hint="eastAsia" w:ascii="仿宋" w:hAnsi="仿宋" w:eastAsia="仿宋" w:cs="仿宋"/>
                <w:b/>
                <w:bCs/>
                <w:sz w:val="32"/>
                <w:szCs w:val="32"/>
                <w:highlight w:val="none"/>
                <w:u w:val="none"/>
                <w:lang w:val="en-US" w:eastAsia="zh-CN"/>
              </w:rPr>
              <w:t>成立大财资管理中心。</w:t>
            </w:r>
            <w:r>
              <w:rPr>
                <w:rFonts w:hint="eastAsia" w:ascii="仿宋" w:hAnsi="仿宋" w:eastAsia="仿宋" w:cs="仿宋"/>
                <w:b w:val="0"/>
                <w:bCs w:val="0"/>
                <w:sz w:val="32"/>
                <w:szCs w:val="32"/>
                <w:highlight w:val="none"/>
                <w:u w:val="none"/>
                <w:lang w:val="en-US" w:eastAsia="zh-CN"/>
              </w:rPr>
              <w:t>整合系统内分散资金账户，实现“资金池”统一归集、调度，对沉淀资金开展协定存款、短期理财等增值运作。</w:t>
            </w:r>
          </w:p>
          <w:p w14:paraId="50AAEE4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3" w:firstLineChars="200"/>
              <w:jc w:val="both"/>
              <w:textAlignment w:val="auto"/>
              <w:rPr>
                <w:rFonts w:hint="eastAsia" w:ascii="仿宋" w:hAnsi="仿宋" w:eastAsia="仿宋" w:cs="仿宋"/>
                <w:b w:val="0"/>
                <w:bCs w:val="0"/>
                <w:sz w:val="32"/>
                <w:szCs w:val="32"/>
                <w:highlight w:val="none"/>
                <w:u w:val="none"/>
                <w:lang w:val="en-US" w:eastAsia="zh-CN"/>
              </w:rPr>
            </w:pPr>
            <w:r>
              <w:rPr>
                <w:rFonts w:hint="eastAsia" w:ascii="仿宋" w:hAnsi="仿宋" w:eastAsia="仿宋" w:cs="仿宋"/>
                <w:b/>
                <w:bCs/>
                <w:sz w:val="32"/>
                <w:szCs w:val="32"/>
                <w:highlight w:val="none"/>
                <w:u w:val="none"/>
                <w:lang w:val="en-US" w:eastAsia="zh-CN"/>
              </w:rPr>
              <w:t>建立分级授权机制。</w:t>
            </w:r>
            <w:r>
              <w:rPr>
                <w:rFonts w:hint="eastAsia" w:ascii="仿宋" w:hAnsi="仿宋" w:eastAsia="仿宋" w:cs="仿宋"/>
                <w:b w:val="0"/>
                <w:bCs w:val="0"/>
                <w:sz w:val="32"/>
                <w:szCs w:val="32"/>
                <w:highlight w:val="none"/>
                <w:u w:val="none"/>
                <w:lang w:val="en-US" w:eastAsia="zh-CN"/>
              </w:rPr>
              <w:t>明确集团、子公司、分公司资金使用权限，日常经营资金自主支配，重大项目资金由集团统筹监管，实现“管放结合、权责对等”。</w:t>
            </w:r>
          </w:p>
          <w:p w14:paraId="54F82B9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3" w:firstLineChars="200"/>
              <w:jc w:val="both"/>
              <w:textAlignment w:val="auto"/>
              <w:rPr>
                <w:rFonts w:hint="default"/>
                <w:highlight w:val="none"/>
                <w:u w:val="none"/>
                <w:lang w:val="en-US" w:eastAsia="zh-CN"/>
              </w:rPr>
            </w:pPr>
            <w:r>
              <w:rPr>
                <w:rFonts w:hint="eastAsia" w:ascii="仿宋" w:hAnsi="仿宋" w:eastAsia="仿宋" w:cs="仿宋"/>
                <w:b/>
                <w:bCs/>
                <w:sz w:val="32"/>
                <w:szCs w:val="32"/>
                <w:highlight w:val="none"/>
                <w:u w:val="none"/>
                <w:lang w:val="en-US" w:eastAsia="zh-CN"/>
              </w:rPr>
              <w:t>实现资金效能最大化。</w:t>
            </w:r>
            <w:r>
              <w:rPr>
                <w:rFonts w:hint="eastAsia" w:ascii="仿宋" w:hAnsi="仿宋" w:eastAsia="仿宋" w:cs="仿宋"/>
                <w:b w:val="0"/>
                <w:bCs w:val="0"/>
                <w:sz w:val="32"/>
                <w:szCs w:val="32"/>
                <w:highlight w:val="none"/>
                <w:u w:val="none"/>
                <w:lang w:val="en-US" w:eastAsia="zh-CN"/>
              </w:rPr>
              <w:t>通过资金集中管理降低融资成本8%-10%，提高资金周转率15%以上。</w:t>
            </w:r>
          </w:p>
        </w:tc>
      </w:tr>
    </w:tbl>
    <w:p w14:paraId="2A69E077">
      <w:pPr>
        <w:pStyle w:val="3"/>
        <w:bidi w:val="0"/>
        <w:rPr>
          <w:rFonts w:hint="eastAsia"/>
          <w:lang w:eastAsia="zh-CN"/>
        </w:rPr>
      </w:pPr>
      <w:bookmarkStart w:id="56" w:name="_Toc10649"/>
      <w:r>
        <w:rPr>
          <w:rFonts w:hint="eastAsia"/>
          <w:lang w:val="en-US" w:eastAsia="zh-CN"/>
        </w:rPr>
        <w:t>十三、加快双线运行现代治理水平，提升市区社协同力</w:t>
      </w:r>
      <w:bookmarkEnd w:id="56"/>
    </w:p>
    <w:p w14:paraId="7785F039">
      <w:pPr>
        <w:pStyle w:val="4"/>
        <w:bidi w:val="0"/>
        <w:rPr>
          <w:rFonts w:hint="eastAsia"/>
        </w:rPr>
      </w:pPr>
      <w:bookmarkStart w:id="57" w:name="_Toc31175"/>
      <w:r>
        <w:rPr>
          <w:rFonts w:hint="eastAsia"/>
        </w:rPr>
        <w:t>（一）任务目标</w:t>
      </w:r>
      <w:bookmarkEnd w:id="57"/>
    </w:p>
    <w:p w14:paraId="53C20DE9">
      <w:pPr>
        <w:keepNext w:val="0"/>
        <w:keepLines w:val="0"/>
        <w:pageBreakBefore w:val="0"/>
        <w:wordWrap/>
        <w:overflowPunct/>
        <w:topLinePunct w:val="0"/>
        <w:bidi w:val="0"/>
        <w:adjustRightInd/>
        <w:snapToGrid/>
        <w:spacing w:line="240" w:lineRule="auto"/>
        <w:ind w:firstLine="640" w:firstLineChars="200"/>
        <w:jc w:val="both"/>
        <w:rPr>
          <w:rFonts w:hint="eastAsia" w:ascii="仿宋" w:hAnsi="仿宋" w:eastAsia="仿宋" w:cs="仿宋"/>
          <w:sz w:val="32"/>
          <w:szCs w:val="32"/>
          <w:highlight w:val="none"/>
          <w:u w:val="none"/>
        </w:rPr>
      </w:pPr>
      <w:r>
        <w:rPr>
          <w:rFonts w:hint="eastAsia" w:ascii="仿宋" w:hAnsi="仿宋" w:eastAsia="仿宋" w:cs="仿宋"/>
          <w:sz w:val="32"/>
          <w:szCs w:val="32"/>
          <w:highlight w:val="none"/>
          <w:u w:val="none"/>
        </w:rPr>
        <w:t>全面贯彻省社关于双线运行的总体部署，立足鄂州实际，进一步巩固“十四五”时期双线运行框架。以理顺社企关系、强化层级联动为重点，充分发挥鄂州供销集团在经营服务体系的龙头带动作用，推动行业指导与经营服务在决策、资本、业务、监管上协同发力。到2030年，形成联合社指导有</w:t>
      </w:r>
      <w:r>
        <w:rPr>
          <w:rFonts w:hint="eastAsia" w:ascii="仿宋" w:hAnsi="仿宋" w:eastAsia="仿宋" w:cs="仿宋"/>
          <w:sz w:val="32"/>
          <w:szCs w:val="32"/>
          <w:highlight w:val="none"/>
          <w:u w:val="none"/>
          <w:lang w:val="en-US" w:eastAsia="zh-CN"/>
        </w:rPr>
        <w:t>力</w:t>
      </w:r>
      <w:r>
        <w:rPr>
          <w:rFonts w:hint="eastAsia" w:ascii="仿宋" w:hAnsi="仿宋" w:eastAsia="仿宋" w:cs="仿宋"/>
          <w:sz w:val="32"/>
          <w:szCs w:val="32"/>
          <w:highlight w:val="none"/>
          <w:u w:val="none"/>
        </w:rPr>
        <w:t>、社有企业运行有效、市</w:t>
      </w:r>
      <w:r>
        <w:rPr>
          <w:rFonts w:hint="eastAsia" w:ascii="仿宋" w:hAnsi="仿宋" w:eastAsia="仿宋" w:cs="仿宋"/>
          <w:sz w:val="32"/>
          <w:szCs w:val="32"/>
          <w:highlight w:val="none"/>
          <w:u w:val="none"/>
          <w:lang w:val="en-US" w:eastAsia="zh-CN"/>
        </w:rPr>
        <w:t>区</w:t>
      </w:r>
      <w:r>
        <w:rPr>
          <w:rFonts w:hint="eastAsia" w:ascii="仿宋" w:hAnsi="仿宋" w:eastAsia="仿宋" w:cs="仿宋"/>
          <w:sz w:val="32"/>
          <w:szCs w:val="32"/>
          <w:highlight w:val="none"/>
          <w:u w:val="none"/>
        </w:rPr>
        <w:t>两级联动顺畅的双线运行新格局。</w:t>
      </w:r>
    </w:p>
    <w:p w14:paraId="52CFD05F">
      <w:pPr>
        <w:pStyle w:val="4"/>
        <w:bidi w:val="0"/>
        <w:ind w:firstLine="880"/>
        <w:rPr>
          <w:rFonts w:hint="eastAsia" w:ascii="Arial" w:hAnsi="Arial"/>
          <w:b w:val="0"/>
        </w:rPr>
      </w:pPr>
      <w:bookmarkStart w:id="58" w:name="_Toc23582"/>
      <w:r>
        <w:rPr>
          <w:rFonts w:hint="eastAsia" w:ascii="Arial" w:hAnsi="Arial"/>
          <w:b w:val="0"/>
        </w:rPr>
        <w:t>（二）分年度计划</w:t>
      </w:r>
      <w:bookmarkEnd w:id="58"/>
    </w:p>
    <w:p w14:paraId="10ABFB2B">
      <w:pPr>
        <w:keepNext w:val="0"/>
        <w:keepLines w:val="0"/>
        <w:pageBreakBefore w:val="0"/>
        <w:wordWrap/>
        <w:overflowPunct/>
        <w:topLinePunct w:val="0"/>
        <w:bidi w:val="0"/>
        <w:adjustRightInd/>
        <w:snapToGrid/>
        <w:spacing w:line="240" w:lineRule="auto"/>
        <w:ind w:firstLine="640" w:firstLineChars="200"/>
        <w:jc w:val="both"/>
        <w:rPr>
          <w:rFonts w:hint="eastAsia" w:ascii="仿宋" w:hAnsi="仿宋" w:eastAsia="仿宋" w:cs="仿宋"/>
          <w:sz w:val="32"/>
          <w:szCs w:val="32"/>
          <w:highlight w:val="none"/>
          <w:u w:val="none"/>
        </w:rPr>
      </w:pPr>
      <w:r>
        <w:rPr>
          <w:rFonts w:hint="eastAsia" w:ascii="仿宋" w:hAnsi="仿宋" w:eastAsia="仿宋" w:cs="仿宋"/>
          <w:sz w:val="32"/>
          <w:szCs w:val="32"/>
          <w:highlight w:val="none"/>
          <w:u w:val="none"/>
        </w:rPr>
        <w:t>2026年：完成联合社与供销集团职责划分，</w:t>
      </w:r>
      <w:r>
        <w:rPr>
          <w:rFonts w:hint="eastAsia" w:ascii="仿宋" w:hAnsi="仿宋" w:eastAsia="仿宋" w:cs="仿宋"/>
          <w:sz w:val="32"/>
          <w:szCs w:val="32"/>
          <w:highlight w:val="none"/>
          <w:u w:val="none"/>
          <w:lang w:val="en-US" w:eastAsia="zh-CN"/>
        </w:rPr>
        <w:t>制定</w:t>
      </w:r>
      <w:r>
        <w:rPr>
          <w:rFonts w:hint="eastAsia" w:ascii="仿宋" w:hAnsi="仿宋" w:eastAsia="仿宋" w:cs="仿宋"/>
          <w:sz w:val="32"/>
          <w:szCs w:val="32"/>
          <w:highlight w:val="none"/>
          <w:u w:val="none"/>
        </w:rPr>
        <w:t>权责清单和“三重一大”事项报告办法。启动社有资产数字化监管平台建设，建立双线运行联席会议制度。</w:t>
      </w:r>
    </w:p>
    <w:p w14:paraId="768F4ECF">
      <w:pPr>
        <w:keepNext w:val="0"/>
        <w:keepLines w:val="0"/>
        <w:pageBreakBefore w:val="0"/>
        <w:wordWrap/>
        <w:overflowPunct/>
        <w:topLinePunct w:val="0"/>
        <w:bidi w:val="0"/>
        <w:adjustRightInd/>
        <w:snapToGrid/>
        <w:spacing w:line="240" w:lineRule="auto"/>
        <w:ind w:firstLine="640" w:firstLineChars="200"/>
        <w:jc w:val="both"/>
        <w:rPr>
          <w:rFonts w:hint="eastAsia" w:ascii="仿宋" w:hAnsi="仿宋" w:eastAsia="仿宋" w:cs="仿宋"/>
          <w:sz w:val="32"/>
          <w:szCs w:val="32"/>
          <w:highlight w:val="none"/>
          <w:u w:val="none"/>
        </w:rPr>
      </w:pPr>
      <w:r>
        <w:rPr>
          <w:rFonts w:hint="eastAsia" w:ascii="仿宋" w:hAnsi="仿宋" w:eastAsia="仿宋" w:cs="仿宋"/>
          <w:sz w:val="32"/>
          <w:szCs w:val="32"/>
          <w:highlight w:val="none"/>
          <w:u w:val="none"/>
        </w:rPr>
        <w:t>2027年：供销集团完成业务板块整合，聚焦农资保供、农产品流通、农业社会化服务等主业。联合社监管方式向管资本转变，建立以服务效能和经营绩效为核心的考核体系。</w:t>
      </w:r>
    </w:p>
    <w:p w14:paraId="346E62D3">
      <w:pPr>
        <w:keepNext w:val="0"/>
        <w:keepLines w:val="0"/>
        <w:pageBreakBefore w:val="0"/>
        <w:wordWrap/>
        <w:overflowPunct/>
        <w:topLinePunct w:val="0"/>
        <w:bidi w:val="0"/>
        <w:adjustRightInd/>
        <w:snapToGrid/>
        <w:spacing w:line="240" w:lineRule="auto"/>
        <w:ind w:firstLine="640" w:firstLineChars="200"/>
        <w:jc w:val="both"/>
        <w:rPr>
          <w:rFonts w:hint="eastAsia" w:ascii="仿宋" w:hAnsi="仿宋" w:eastAsia="仿宋" w:cs="仿宋"/>
          <w:sz w:val="32"/>
          <w:szCs w:val="32"/>
          <w:highlight w:val="none"/>
          <w:u w:val="none"/>
        </w:rPr>
      </w:pPr>
      <w:r>
        <w:rPr>
          <w:rFonts w:hint="eastAsia" w:ascii="仿宋" w:hAnsi="仿宋" w:eastAsia="仿宋" w:cs="仿宋"/>
          <w:sz w:val="32"/>
          <w:szCs w:val="32"/>
          <w:highlight w:val="none"/>
          <w:u w:val="none"/>
        </w:rPr>
        <w:t>2028年：市域内社有资源配置进一步优化，在重大项目投资建设上实现协同联动。探索与省</w:t>
      </w:r>
      <w:r>
        <w:rPr>
          <w:rFonts w:hint="eastAsia" w:ascii="仿宋" w:hAnsi="仿宋" w:eastAsia="仿宋" w:cs="仿宋"/>
          <w:sz w:val="32"/>
          <w:szCs w:val="32"/>
          <w:highlight w:val="none"/>
          <w:u w:val="none"/>
          <w:lang w:val="en-US" w:eastAsia="zh-CN"/>
        </w:rPr>
        <w:t>市区</w:t>
      </w:r>
      <w:r>
        <w:rPr>
          <w:rFonts w:hint="eastAsia" w:ascii="仿宋" w:hAnsi="仿宋" w:eastAsia="仿宋" w:cs="仿宋"/>
          <w:sz w:val="32"/>
          <w:szCs w:val="32"/>
          <w:highlight w:val="none"/>
          <w:u w:val="none"/>
        </w:rPr>
        <w:t>产权合作路径，推动业务对接和资源共享。</w:t>
      </w:r>
    </w:p>
    <w:p w14:paraId="4A876440">
      <w:pPr>
        <w:keepNext w:val="0"/>
        <w:keepLines w:val="0"/>
        <w:pageBreakBefore w:val="0"/>
        <w:wordWrap/>
        <w:overflowPunct/>
        <w:topLinePunct w:val="0"/>
        <w:bidi w:val="0"/>
        <w:adjustRightInd/>
        <w:snapToGrid/>
        <w:spacing w:line="240" w:lineRule="auto"/>
        <w:ind w:firstLine="640" w:firstLineChars="200"/>
        <w:jc w:val="both"/>
        <w:rPr>
          <w:rFonts w:hint="eastAsia" w:ascii="仿宋" w:hAnsi="仿宋" w:eastAsia="仿宋" w:cs="仿宋"/>
          <w:sz w:val="32"/>
          <w:szCs w:val="32"/>
          <w:highlight w:val="none"/>
          <w:u w:val="none"/>
        </w:rPr>
      </w:pPr>
      <w:r>
        <w:rPr>
          <w:rFonts w:hint="eastAsia" w:ascii="仿宋" w:hAnsi="仿宋" w:eastAsia="仿宋" w:cs="仿宋"/>
          <w:sz w:val="32"/>
          <w:szCs w:val="32"/>
          <w:highlight w:val="none"/>
          <w:u w:val="none"/>
        </w:rPr>
        <w:t>2029年：双线运行机制更加成熟，联合社战略引领与企业市场化经营形成良性互动，系统整体实力明显提升。</w:t>
      </w:r>
    </w:p>
    <w:p w14:paraId="3A8E7D66">
      <w:pPr>
        <w:keepNext w:val="0"/>
        <w:keepLines w:val="0"/>
        <w:pageBreakBefore w:val="0"/>
        <w:wordWrap/>
        <w:overflowPunct/>
        <w:topLinePunct w:val="0"/>
        <w:bidi w:val="0"/>
        <w:adjustRightInd/>
        <w:snapToGrid/>
        <w:spacing w:line="240" w:lineRule="auto"/>
        <w:ind w:firstLine="640" w:firstLineChars="200"/>
        <w:jc w:val="both"/>
        <w:rPr>
          <w:rFonts w:hint="eastAsia" w:ascii="仿宋" w:hAnsi="仿宋" w:eastAsia="仿宋" w:cs="仿宋"/>
          <w:sz w:val="32"/>
          <w:szCs w:val="32"/>
          <w:highlight w:val="none"/>
          <w:u w:val="none"/>
        </w:rPr>
      </w:pPr>
      <w:r>
        <w:rPr>
          <w:rFonts w:hint="eastAsia" w:ascii="仿宋" w:hAnsi="仿宋" w:eastAsia="仿宋" w:cs="仿宋"/>
          <w:sz w:val="32"/>
          <w:szCs w:val="32"/>
          <w:highlight w:val="none"/>
          <w:u w:val="none"/>
        </w:rPr>
        <w:t>2030年：全面实现双线运行目标，行业指导体系坚强有力、经营服务体系充满活力，</w:t>
      </w:r>
      <w:r>
        <w:rPr>
          <w:rFonts w:hint="eastAsia" w:ascii="仿宋" w:hAnsi="仿宋" w:eastAsia="仿宋" w:cs="仿宋"/>
          <w:sz w:val="32"/>
          <w:szCs w:val="32"/>
          <w:highlight w:val="none"/>
          <w:u w:val="none"/>
          <w:lang w:val="en-US" w:eastAsia="zh-CN"/>
        </w:rPr>
        <w:t>供销</w:t>
      </w:r>
      <w:r>
        <w:rPr>
          <w:rFonts w:hint="eastAsia" w:ascii="仿宋" w:hAnsi="仿宋" w:eastAsia="仿宋" w:cs="仿宋"/>
          <w:sz w:val="32"/>
          <w:szCs w:val="32"/>
          <w:highlight w:val="none"/>
          <w:u w:val="none"/>
        </w:rPr>
        <w:t>社在服务鄂州农业农村现代化中的作用充分显现。</w:t>
      </w:r>
    </w:p>
    <w:p w14:paraId="60102389">
      <w:pPr>
        <w:pStyle w:val="4"/>
        <w:bidi w:val="0"/>
        <w:ind w:firstLine="880"/>
        <w:rPr>
          <w:rFonts w:hint="eastAsia" w:ascii="Arial" w:hAnsi="Arial"/>
          <w:b w:val="0"/>
        </w:rPr>
      </w:pPr>
      <w:bookmarkStart w:id="59" w:name="_Toc28200"/>
      <w:r>
        <w:rPr>
          <w:rFonts w:hint="eastAsia" w:ascii="Arial" w:hAnsi="Arial"/>
          <w:b w:val="0"/>
        </w:rPr>
        <w:t>（三）具体措施</w:t>
      </w:r>
      <w:bookmarkEnd w:id="59"/>
    </w:p>
    <w:p w14:paraId="73A9C691">
      <w:pPr>
        <w:keepNext w:val="0"/>
        <w:keepLines w:val="0"/>
        <w:pageBreakBefore w:val="0"/>
        <w:wordWrap/>
        <w:overflowPunct/>
        <w:topLinePunct w:val="0"/>
        <w:bidi w:val="0"/>
        <w:adjustRightInd/>
        <w:snapToGrid/>
        <w:spacing w:line="240" w:lineRule="auto"/>
        <w:ind w:firstLine="643" w:firstLineChars="200"/>
        <w:jc w:val="both"/>
        <w:rPr>
          <w:rFonts w:hint="eastAsia" w:ascii="仿宋" w:hAnsi="仿宋" w:eastAsia="仿宋" w:cs="仿宋"/>
          <w:sz w:val="32"/>
          <w:szCs w:val="32"/>
          <w:highlight w:val="none"/>
          <w:u w:val="none"/>
        </w:rPr>
      </w:pPr>
      <w:r>
        <w:rPr>
          <w:rFonts w:hint="eastAsia" w:ascii="仿宋" w:hAnsi="仿宋" w:eastAsia="仿宋" w:cs="仿宋"/>
          <w:b/>
          <w:bCs/>
          <w:sz w:val="32"/>
          <w:szCs w:val="32"/>
          <w:highlight w:val="none"/>
          <w:u w:val="none"/>
          <w:lang w:val="en-US" w:eastAsia="zh-CN"/>
        </w:rPr>
        <w:t>1.做实鄂州供销集团运营功能，打造为农服务主力载体。</w:t>
      </w:r>
      <w:r>
        <w:rPr>
          <w:rFonts w:hint="eastAsia" w:ascii="仿宋" w:hAnsi="仿宋" w:eastAsia="仿宋" w:cs="仿宋"/>
          <w:sz w:val="32"/>
          <w:szCs w:val="32"/>
          <w:highlight w:val="none"/>
          <w:u w:val="none"/>
          <w:lang w:val="en-US" w:eastAsia="zh-CN"/>
        </w:rPr>
        <w:t>严格落实“社企分开”</w:t>
      </w:r>
      <w:r>
        <w:rPr>
          <w:rFonts w:hint="eastAsia" w:ascii="仿宋" w:hAnsi="仿宋" w:eastAsia="仿宋" w:cs="仿宋"/>
          <w:sz w:val="32"/>
          <w:szCs w:val="32"/>
          <w:highlight w:val="none"/>
          <w:u w:val="none"/>
        </w:rPr>
        <w:t>，确保联合社履行监管职责、集团开展经营活动。支持集团聚焦农资供应、农产品流通、再生资源回收等主业，重点围绕鄂州“武昌鱼”、蔬菜等特色农产品产业链进行布局。建立集团重大事项向市社报告制度，</w:t>
      </w:r>
      <w:r>
        <w:rPr>
          <w:rFonts w:hint="eastAsia" w:ascii="仿宋" w:hAnsi="仿宋" w:eastAsia="仿宋" w:cs="仿宋"/>
          <w:sz w:val="32"/>
          <w:szCs w:val="32"/>
          <w:highlight w:val="none"/>
          <w:u w:val="none"/>
          <w:lang w:val="en-US" w:eastAsia="zh-CN"/>
        </w:rPr>
        <w:t>联合社</w:t>
      </w:r>
      <w:r>
        <w:rPr>
          <w:rFonts w:hint="eastAsia" w:ascii="仿宋" w:hAnsi="仿宋" w:eastAsia="仿宋" w:cs="仿宋"/>
          <w:sz w:val="32"/>
          <w:szCs w:val="32"/>
          <w:highlight w:val="none"/>
          <w:u w:val="none"/>
        </w:rPr>
        <w:t>重点管好资本投向、规范经营方向、防控重大风险，具体经营事项交由集团自主决策。推动集团与区级社有企业开展业务合作，逐步形成市域一体化经营网络。</w:t>
      </w:r>
    </w:p>
    <w:p w14:paraId="5F22224A">
      <w:pPr>
        <w:keepNext w:val="0"/>
        <w:keepLines w:val="0"/>
        <w:pageBreakBefore w:val="0"/>
        <w:wordWrap/>
        <w:overflowPunct/>
        <w:topLinePunct w:val="0"/>
        <w:bidi w:val="0"/>
        <w:adjustRightInd/>
        <w:snapToGrid/>
        <w:spacing w:line="240" w:lineRule="auto"/>
        <w:ind w:firstLine="643" w:firstLineChars="200"/>
        <w:jc w:val="both"/>
        <w:rPr>
          <w:rFonts w:hint="eastAsia" w:ascii="仿宋" w:hAnsi="仿宋" w:eastAsia="仿宋" w:cs="仿宋"/>
          <w:sz w:val="32"/>
          <w:szCs w:val="32"/>
          <w:highlight w:val="none"/>
          <w:u w:val="none"/>
        </w:rPr>
      </w:pPr>
      <w:r>
        <w:rPr>
          <w:rFonts w:hint="eastAsia" w:ascii="仿宋" w:hAnsi="仿宋" w:eastAsia="仿宋" w:cs="仿宋"/>
          <w:b/>
          <w:bCs/>
          <w:sz w:val="32"/>
          <w:szCs w:val="32"/>
          <w:highlight w:val="none"/>
          <w:u w:val="none"/>
          <w:lang w:val="en-US" w:eastAsia="zh-CN"/>
        </w:rPr>
        <w:t>2.提升行业指导精准化水平，强化联合社服务功能。</w:t>
      </w:r>
      <w:r>
        <w:rPr>
          <w:rFonts w:hint="eastAsia" w:ascii="仿宋" w:hAnsi="仿宋" w:eastAsia="仿宋" w:cs="仿宋"/>
          <w:sz w:val="32"/>
          <w:szCs w:val="32"/>
          <w:highlight w:val="none"/>
          <w:u w:val="none"/>
        </w:rPr>
        <w:t>优化联合社对社有资产的监管方式，从管资产向管资本转变，重点考核资本回报、服务效能和风险防控。依托数字化手段，逐步将区级社有资产纳入动态监测范围，提升监管效能。</w:t>
      </w:r>
      <w:r>
        <w:rPr>
          <w:rFonts w:hint="eastAsia" w:ascii="仿宋" w:hAnsi="仿宋" w:eastAsia="仿宋" w:cs="仿宋"/>
          <w:sz w:val="32"/>
          <w:szCs w:val="32"/>
          <w:highlight w:val="none"/>
          <w:u w:val="none"/>
          <w:lang w:val="en-US" w:eastAsia="zh-CN"/>
        </w:rPr>
        <w:t>强化联合社</w:t>
      </w:r>
      <w:r>
        <w:rPr>
          <w:rFonts w:hint="eastAsia" w:ascii="仿宋" w:hAnsi="仿宋" w:eastAsia="仿宋" w:cs="仿宋"/>
          <w:sz w:val="32"/>
          <w:szCs w:val="32"/>
          <w:highlight w:val="none"/>
          <w:u w:val="none"/>
        </w:rPr>
        <w:t>在定方向、创环境、强监管上</w:t>
      </w:r>
      <w:r>
        <w:rPr>
          <w:rFonts w:hint="eastAsia" w:ascii="仿宋" w:hAnsi="仿宋" w:eastAsia="仿宋" w:cs="仿宋"/>
          <w:sz w:val="32"/>
          <w:szCs w:val="32"/>
          <w:highlight w:val="none"/>
          <w:u w:val="none"/>
          <w:lang w:val="en-US" w:eastAsia="zh-CN"/>
        </w:rPr>
        <w:t>的作用</w:t>
      </w:r>
      <w:r>
        <w:rPr>
          <w:rFonts w:hint="eastAsia" w:ascii="仿宋" w:hAnsi="仿宋" w:eastAsia="仿宋" w:cs="仿宋"/>
          <w:sz w:val="32"/>
          <w:szCs w:val="32"/>
          <w:highlight w:val="none"/>
          <w:u w:val="none"/>
        </w:rPr>
        <w:t>，做好政策争取和资源对接。加强区级供销社工作指导，推动省社“四个下沉”要求在鄂州落地见效。</w:t>
      </w:r>
    </w:p>
    <w:p w14:paraId="1678503A">
      <w:pPr>
        <w:keepNext w:val="0"/>
        <w:keepLines w:val="0"/>
        <w:pageBreakBefore w:val="0"/>
        <w:widowControl/>
        <w:kinsoku w:val="0"/>
        <w:wordWrap/>
        <w:overflowPunct/>
        <w:topLinePunct w:val="0"/>
        <w:autoSpaceDE w:val="0"/>
        <w:autoSpaceDN w:val="0"/>
        <w:bidi w:val="0"/>
        <w:adjustRightInd/>
        <w:snapToGrid/>
        <w:spacing w:line="240" w:lineRule="auto"/>
        <w:ind w:firstLine="643" w:firstLineChars="200"/>
        <w:jc w:val="both"/>
        <w:textAlignment w:val="baseline"/>
        <w:rPr>
          <w:rFonts w:hint="eastAsia" w:ascii="仿宋_GB2312" w:hAnsi="仿宋_GB2312" w:eastAsia="仿宋_GB2312" w:cs="仿宋_GB2312"/>
          <w:sz w:val="32"/>
          <w:szCs w:val="32"/>
          <w:highlight w:val="none"/>
          <w:u w:val="none"/>
        </w:rPr>
      </w:pPr>
      <w:r>
        <w:rPr>
          <w:rFonts w:hint="eastAsia" w:ascii="仿宋" w:hAnsi="仿宋" w:eastAsia="仿宋" w:cs="仿宋"/>
          <w:b/>
          <w:bCs/>
          <w:sz w:val="32"/>
          <w:szCs w:val="32"/>
          <w:highlight w:val="none"/>
          <w:u w:val="none"/>
          <w:lang w:val="en-US" w:eastAsia="zh-CN"/>
        </w:rPr>
        <w:t>3.打破行政层级与企业层级壁垒，强化纵横贯通联动协同。</w:t>
      </w:r>
      <w:r>
        <w:rPr>
          <w:rFonts w:hint="eastAsia" w:ascii="仿宋" w:hAnsi="仿宋" w:eastAsia="仿宋" w:cs="仿宋"/>
          <w:b w:val="0"/>
          <w:bCs w:val="0"/>
          <w:sz w:val="32"/>
          <w:szCs w:val="32"/>
          <w:highlight w:val="none"/>
          <w:u w:val="none"/>
          <w:lang w:val="en-US" w:eastAsia="zh-CN"/>
        </w:rPr>
        <w:t>鼓励和支持鄂州供销集团与各级社有企业、基层社通过项目合资、股权合作、业务联盟等方式，构建利益共享、风险共担的紧密型经济联合体。推动联合社在战略规划、政策争取、资源对接上赋能企业经营，同时支持社有企业将市场信息、服务需求高效反馈至行业指导体系，形成“指导有力、支撑有效、反应灵敏”的双向互动闭环，全面提升系统整体效能与市场竞争力。</w:t>
      </w:r>
    </w:p>
    <w:p w14:paraId="075ABB6E">
      <w:pPr>
        <w:keepNext w:val="0"/>
        <w:keepLines w:val="0"/>
        <w:pageBreakBefore w:val="0"/>
        <w:wordWrap/>
        <w:overflowPunct/>
        <w:topLinePunct w:val="0"/>
        <w:bidi w:val="0"/>
        <w:adjustRightInd/>
        <w:snapToGrid/>
        <w:spacing w:line="240" w:lineRule="auto"/>
        <w:ind w:firstLine="643" w:firstLineChars="200"/>
        <w:jc w:val="both"/>
        <w:rPr>
          <w:rFonts w:hint="eastAsia" w:ascii="仿宋" w:hAnsi="仿宋" w:eastAsia="仿宋" w:cs="仿宋"/>
          <w:sz w:val="32"/>
          <w:szCs w:val="32"/>
          <w:highlight w:val="none"/>
          <w:u w:val="none"/>
        </w:rPr>
      </w:pPr>
      <w:r>
        <w:rPr>
          <w:rFonts w:hint="eastAsia" w:ascii="仿宋" w:hAnsi="仿宋" w:eastAsia="仿宋" w:cs="仿宋"/>
          <w:b/>
          <w:bCs/>
          <w:sz w:val="32"/>
          <w:szCs w:val="32"/>
          <w:highlight w:val="none"/>
          <w:u w:val="none"/>
          <w:lang w:val="en-US" w:eastAsia="zh-CN"/>
        </w:rPr>
        <w:t>4.</w:t>
      </w:r>
      <w:r>
        <w:rPr>
          <w:rFonts w:hint="eastAsia" w:ascii="仿宋" w:hAnsi="仿宋" w:eastAsia="仿宋" w:cs="仿宋"/>
          <w:b/>
          <w:bCs/>
          <w:sz w:val="32"/>
          <w:szCs w:val="32"/>
          <w:highlight w:val="none"/>
          <w:u w:val="none"/>
        </w:rPr>
        <w:t>完善治理运行机制，保障双线协同高效运转。</w:t>
      </w:r>
      <w:r>
        <w:rPr>
          <w:rFonts w:hint="eastAsia" w:ascii="仿宋" w:hAnsi="仿宋" w:eastAsia="仿宋" w:cs="仿宋"/>
          <w:sz w:val="32"/>
          <w:szCs w:val="32"/>
          <w:highlight w:val="none"/>
          <w:u w:val="none"/>
        </w:rPr>
        <w:t>健全理事会、监事会运行规则，按期召开“三会”，保障成员社知情权和参与权。完善对区级社和社有企业的考核评价机制，引导各级各单位聚焦主责主业、协同发力。探索建立</w:t>
      </w:r>
      <w:r>
        <w:rPr>
          <w:rFonts w:hint="eastAsia" w:ascii="仿宋" w:hAnsi="仿宋" w:eastAsia="仿宋" w:cs="仿宋"/>
          <w:sz w:val="32"/>
          <w:szCs w:val="32"/>
          <w:highlight w:val="none"/>
          <w:u w:val="none"/>
          <w:lang w:val="en-US" w:eastAsia="zh-CN"/>
        </w:rPr>
        <w:t>联合社</w:t>
      </w:r>
      <w:r>
        <w:rPr>
          <w:rFonts w:hint="eastAsia" w:ascii="仿宋" w:hAnsi="仿宋" w:eastAsia="仿宋" w:cs="仿宋"/>
          <w:sz w:val="32"/>
          <w:szCs w:val="32"/>
          <w:highlight w:val="none"/>
          <w:u w:val="none"/>
        </w:rPr>
        <w:t>与社有企业双向沟通机制，及时反馈市场信息和服务需求，确保指导有力、支撑有效。</w:t>
      </w:r>
    </w:p>
    <w:p w14:paraId="139562CC">
      <w:pPr>
        <w:pStyle w:val="3"/>
        <w:bidi w:val="0"/>
        <w:rPr>
          <w:rFonts w:hint="eastAsia"/>
          <w:lang w:val="en-US" w:eastAsia="zh-CN"/>
        </w:rPr>
      </w:pPr>
      <w:bookmarkStart w:id="60" w:name="_Toc14287"/>
      <w:r>
        <w:rPr>
          <w:rFonts w:hint="eastAsia"/>
          <w:lang w:val="en-US" w:eastAsia="zh-CN"/>
        </w:rPr>
        <w:t>十四、加强供销文化建设，提升供销系统凝聚力</w:t>
      </w:r>
      <w:bookmarkEnd w:id="60"/>
    </w:p>
    <w:p w14:paraId="20CBAE3E">
      <w:pPr>
        <w:pStyle w:val="4"/>
        <w:bidi w:val="0"/>
        <w:ind w:firstLine="880"/>
        <w:rPr>
          <w:rFonts w:hint="eastAsia" w:ascii="Arial" w:hAnsi="Arial"/>
          <w:b w:val="0"/>
          <w:lang w:val="en-US" w:eastAsia="zh-CN"/>
        </w:rPr>
      </w:pPr>
      <w:bookmarkStart w:id="61" w:name="_Toc6839"/>
      <w:r>
        <w:rPr>
          <w:rFonts w:hint="eastAsia" w:ascii="Arial" w:hAnsi="Arial"/>
          <w:b w:val="0"/>
          <w:lang w:val="en-US" w:eastAsia="zh-CN"/>
        </w:rPr>
        <w:t>（一）任务目标</w:t>
      </w:r>
      <w:bookmarkEnd w:id="61"/>
    </w:p>
    <w:p w14:paraId="13E12FEF">
      <w:pPr>
        <w:keepNext w:val="0"/>
        <w:keepLines w:val="0"/>
        <w:pageBreakBefore w:val="0"/>
        <w:wordWrap/>
        <w:overflowPunct/>
        <w:topLinePunct w:val="0"/>
        <w:bidi w:val="0"/>
        <w:adjustRightInd/>
        <w:snapToGrid/>
        <w:spacing w:line="240" w:lineRule="auto"/>
        <w:ind w:firstLine="640" w:firstLineChars="200"/>
        <w:jc w:val="both"/>
        <w:rPr>
          <w:rFonts w:hint="eastAsia" w:ascii="仿宋" w:hAnsi="仿宋" w:eastAsia="仿宋" w:cs="仿宋"/>
          <w:sz w:val="32"/>
          <w:szCs w:val="32"/>
          <w:highlight w:val="none"/>
          <w:u w:val="none"/>
          <w:lang w:val="en-US" w:eastAsia="zh-CN"/>
        </w:rPr>
      </w:pPr>
      <w:r>
        <w:rPr>
          <w:rFonts w:hint="eastAsia" w:ascii="仿宋" w:hAnsi="仿宋" w:eastAsia="仿宋" w:cs="仿宋"/>
          <w:sz w:val="32"/>
          <w:szCs w:val="32"/>
          <w:highlight w:val="none"/>
          <w:u w:val="none"/>
          <w:lang w:val="en-US" w:eastAsia="zh-CN"/>
        </w:rPr>
        <w:t>以服务乡村振兴战略为统领，以社会主义核心价值观为引领，以提升品牌价值、市场竞争力和社会影响力为目标，坚持守正创新，推动优秀传统文化与现代合作社理念深度融合，弘扬“扁担”“背篓”精神，全面落实新发展理念，向“封闭”“保守”“恋旧”说不，增强“为农、诚信、创业、合作”的新时代供销合作社精神。通过理念创新实践化、精神传承具象化等举措，构建涵盖改革创新、合作共赢、法治规范、品牌引领的特色供销文化体系，推动传统产业与文化特色产业深度融合，实现软实力与硬实力“双提升”。</w:t>
      </w:r>
    </w:p>
    <w:p w14:paraId="212C1599">
      <w:pPr>
        <w:pStyle w:val="4"/>
        <w:bidi w:val="0"/>
        <w:ind w:firstLine="880"/>
        <w:rPr>
          <w:rFonts w:hint="eastAsia" w:ascii="Arial" w:hAnsi="Arial"/>
          <w:b w:val="0"/>
          <w:lang w:val="en-US" w:eastAsia="zh-CN"/>
        </w:rPr>
      </w:pPr>
      <w:bookmarkStart w:id="62" w:name="_Toc13525"/>
      <w:r>
        <w:rPr>
          <w:rFonts w:hint="eastAsia" w:ascii="Arial" w:hAnsi="Arial"/>
          <w:b w:val="0"/>
          <w:lang w:val="en-US" w:eastAsia="zh-CN"/>
        </w:rPr>
        <w:t>（二）分年度计划</w:t>
      </w:r>
      <w:bookmarkEnd w:id="62"/>
    </w:p>
    <w:p w14:paraId="20CFDDEB">
      <w:pPr>
        <w:keepNext w:val="0"/>
        <w:keepLines w:val="0"/>
        <w:pageBreakBefore w:val="0"/>
        <w:wordWrap/>
        <w:overflowPunct/>
        <w:topLinePunct w:val="0"/>
        <w:bidi w:val="0"/>
        <w:adjustRightInd/>
        <w:snapToGrid/>
        <w:spacing w:line="240" w:lineRule="auto"/>
        <w:ind w:firstLine="640" w:firstLineChars="200"/>
        <w:jc w:val="both"/>
        <w:rPr>
          <w:rFonts w:hint="eastAsia" w:ascii="仿宋" w:hAnsi="仿宋" w:eastAsia="仿宋" w:cs="仿宋"/>
          <w:sz w:val="32"/>
          <w:szCs w:val="32"/>
          <w:highlight w:val="none"/>
          <w:u w:val="none"/>
          <w:lang w:val="en-US" w:eastAsia="zh-CN"/>
        </w:rPr>
      </w:pPr>
      <w:r>
        <w:rPr>
          <w:rFonts w:hint="eastAsia" w:ascii="仿宋" w:hAnsi="仿宋" w:eastAsia="仿宋" w:cs="仿宋"/>
          <w:sz w:val="32"/>
          <w:szCs w:val="32"/>
          <w:highlight w:val="none"/>
          <w:u w:val="none"/>
          <w:lang w:val="en-US" w:eastAsia="zh-CN"/>
        </w:rPr>
        <w:t>2026年：谋划开展全市供销系统“十五五”高质量发展相关主题调研，围绕“扁担”“背篓”精神内涵，开展系统研究与主题研讨。</w:t>
      </w:r>
    </w:p>
    <w:p w14:paraId="491A754C">
      <w:pPr>
        <w:keepNext w:val="0"/>
        <w:keepLines w:val="0"/>
        <w:pageBreakBefore w:val="0"/>
        <w:wordWrap/>
        <w:overflowPunct/>
        <w:topLinePunct w:val="0"/>
        <w:bidi w:val="0"/>
        <w:adjustRightInd/>
        <w:snapToGrid/>
        <w:spacing w:line="240" w:lineRule="auto"/>
        <w:ind w:firstLine="640" w:firstLineChars="200"/>
        <w:jc w:val="both"/>
        <w:rPr>
          <w:rFonts w:hint="eastAsia" w:ascii="仿宋" w:hAnsi="仿宋" w:eastAsia="仿宋" w:cs="仿宋"/>
          <w:sz w:val="32"/>
          <w:szCs w:val="32"/>
          <w:highlight w:val="none"/>
          <w:u w:val="none"/>
          <w:lang w:val="en-US" w:eastAsia="zh-CN"/>
        </w:rPr>
      </w:pPr>
      <w:r>
        <w:rPr>
          <w:rFonts w:hint="eastAsia" w:ascii="仿宋" w:hAnsi="仿宋" w:eastAsia="仿宋" w:cs="仿宋"/>
          <w:sz w:val="32"/>
          <w:szCs w:val="32"/>
          <w:highlight w:val="none"/>
          <w:u w:val="none"/>
          <w:lang w:val="en-US" w:eastAsia="zh-CN"/>
        </w:rPr>
        <w:t>2027年：明确供销社品牌核心价值与定位，鼓励各级供销社在统一公共品牌引领下，培育具有地域与产业特色的子品牌。开放办社，深化合作，弘扬、培育和深化合作精神合作文化。</w:t>
      </w:r>
    </w:p>
    <w:p w14:paraId="22C0763B">
      <w:pPr>
        <w:keepNext w:val="0"/>
        <w:keepLines w:val="0"/>
        <w:pageBreakBefore w:val="0"/>
        <w:wordWrap/>
        <w:overflowPunct/>
        <w:topLinePunct w:val="0"/>
        <w:bidi w:val="0"/>
        <w:adjustRightInd/>
        <w:snapToGrid/>
        <w:spacing w:line="240" w:lineRule="auto"/>
        <w:ind w:firstLine="640" w:firstLineChars="200"/>
        <w:jc w:val="both"/>
        <w:rPr>
          <w:rFonts w:hint="eastAsia" w:ascii="仿宋" w:hAnsi="仿宋" w:eastAsia="仿宋" w:cs="仿宋"/>
          <w:sz w:val="32"/>
          <w:szCs w:val="32"/>
          <w:highlight w:val="none"/>
          <w:u w:val="none"/>
          <w:lang w:val="en-US" w:eastAsia="zh-CN"/>
        </w:rPr>
      </w:pPr>
      <w:r>
        <w:rPr>
          <w:rFonts w:hint="eastAsia" w:ascii="仿宋" w:hAnsi="仿宋" w:eastAsia="仿宋" w:cs="仿宋"/>
          <w:sz w:val="32"/>
          <w:szCs w:val="32"/>
          <w:highlight w:val="none"/>
          <w:u w:val="none"/>
          <w:lang w:val="en-US" w:eastAsia="zh-CN"/>
        </w:rPr>
        <w:t>2028年：组织参观教育基地；引入或创作反映供销题材的短视频、文学美术、影视剧等，讲好供销故事。提升品牌认知度与美誉度，完善品牌体系，构建以“供销社”公共品牌为统领，以“鄂合精选”为优质农产品统一标识产品品牌，形成协同高效的多层级品牌体系。</w:t>
      </w:r>
    </w:p>
    <w:p w14:paraId="2F2E9199">
      <w:pPr>
        <w:keepNext w:val="0"/>
        <w:keepLines w:val="0"/>
        <w:pageBreakBefore w:val="0"/>
        <w:wordWrap/>
        <w:overflowPunct/>
        <w:topLinePunct w:val="0"/>
        <w:bidi w:val="0"/>
        <w:adjustRightInd/>
        <w:snapToGrid/>
        <w:spacing w:line="240" w:lineRule="auto"/>
        <w:ind w:firstLine="640" w:firstLineChars="200"/>
        <w:jc w:val="both"/>
        <w:rPr>
          <w:rFonts w:hint="default" w:ascii="仿宋" w:hAnsi="仿宋" w:eastAsia="仿宋" w:cs="仿宋"/>
          <w:sz w:val="32"/>
          <w:szCs w:val="32"/>
          <w:highlight w:val="none"/>
          <w:u w:val="none"/>
          <w:lang w:val="en-US" w:eastAsia="zh-CN"/>
        </w:rPr>
      </w:pPr>
      <w:r>
        <w:rPr>
          <w:rFonts w:hint="eastAsia" w:ascii="仿宋" w:hAnsi="仿宋" w:eastAsia="仿宋" w:cs="仿宋"/>
          <w:sz w:val="32"/>
          <w:szCs w:val="32"/>
          <w:highlight w:val="none"/>
          <w:u w:val="none"/>
          <w:lang w:val="en-US" w:eastAsia="zh-CN"/>
        </w:rPr>
        <w:t>2029年：将“扁担”“背篓”精神融入人才培养、为农服务、企业经营等各个环节，优化运营机制，推动传统精神与服务创新结合。</w:t>
      </w:r>
    </w:p>
    <w:p w14:paraId="31622E83">
      <w:pPr>
        <w:keepNext w:val="0"/>
        <w:keepLines w:val="0"/>
        <w:pageBreakBefore w:val="0"/>
        <w:wordWrap/>
        <w:overflowPunct/>
        <w:topLinePunct w:val="0"/>
        <w:bidi w:val="0"/>
        <w:adjustRightInd/>
        <w:snapToGrid/>
        <w:spacing w:line="240" w:lineRule="auto"/>
        <w:ind w:firstLine="640" w:firstLineChars="200"/>
        <w:jc w:val="both"/>
        <w:rPr>
          <w:rFonts w:hint="eastAsia" w:ascii="仿宋" w:hAnsi="仿宋" w:eastAsia="仿宋" w:cs="仿宋"/>
          <w:sz w:val="32"/>
          <w:szCs w:val="32"/>
          <w:highlight w:val="none"/>
          <w:u w:val="none"/>
          <w:lang w:val="en-US" w:eastAsia="zh-CN"/>
        </w:rPr>
      </w:pPr>
      <w:r>
        <w:rPr>
          <w:rFonts w:hint="eastAsia" w:ascii="仿宋" w:hAnsi="仿宋" w:eastAsia="仿宋" w:cs="仿宋"/>
          <w:sz w:val="32"/>
          <w:szCs w:val="32"/>
          <w:highlight w:val="none"/>
          <w:u w:val="none"/>
          <w:lang w:val="en-US" w:eastAsia="zh-CN"/>
        </w:rPr>
        <w:t>2030年：丰富时代内涵，延伸服务价值。持续打造“绿色篓”、“民生篓”、“文化篓”。在传统农资供应基础上，拓展“土地托管”、“烘干收储”、“产销对接”等综合性服务，当好农民“田保姆”和“销售员”。</w:t>
      </w:r>
    </w:p>
    <w:p w14:paraId="541D961F">
      <w:pPr>
        <w:pStyle w:val="4"/>
        <w:bidi w:val="0"/>
        <w:ind w:firstLine="880"/>
        <w:rPr>
          <w:rFonts w:hint="eastAsia" w:ascii="Arial" w:hAnsi="Arial"/>
          <w:b w:val="0"/>
          <w:lang w:val="en-US" w:eastAsia="zh-CN"/>
        </w:rPr>
      </w:pPr>
      <w:bookmarkStart w:id="63" w:name="_Toc22183"/>
      <w:r>
        <w:rPr>
          <w:rFonts w:hint="eastAsia" w:ascii="Arial" w:hAnsi="Arial"/>
          <w:b w:val="0"/>
          <w:lang w:eastAsia="zh-CN"/>
        </w:rPr>
        <w:t>（</w:t>
      </w:r>
      <w:r>
        <w:rPr>
          <w:rFonts w:hint="eastAsia" w:ascii="Arial" w:hAnsi="Arial"/>
          <w:b w:val="0"/>
          <w:lang w:val="en-US" w:eastAsia="zh-CN"/>
        </w:rPr>
        <w:t>三</w:t>
      </w:r>
      <w:r>
        <w:rPr>
          <w:rFonts w:hint="eastAsia" w:ascii="Arial" w:hAnsi="Arial"/>
          <w:b w:val="0"/>
          <w:lang w:eastAsia="zh-CN"/>
        </w:rPr>
        <w:t>）</w:t>
      </w:r>
      <w:r>
        <w:rPr>
          <w:rFonts w:hint="eastAsia" w:ascii="Arial" w:hAnsi="Arial"/>
          <w:b w:val="0"/>
          <w:lang w:val="en-US" w:eastAsia="zh-CN"/>
        </w:rPr>
        <w:t>具体措施</w:t>
      </w:r>
      <w:bookmarkEnd w:id="63"/>
    </w:p>
    <w:p w14:paraId="02001779">
      <w:pPr>
        <w:pStyle w:val="2"/>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auto"/>
        <w:rPr>
          <w:rFonts w:hint="default" w:ascii="仿宋" w:hAnsi="仿宋" w:eastAsia="仿宋" w:cs="仿宋"/>
          <w:b/>
          <w:bCs/>
          <w:kern w:val="2"/>
          <w:sz w:val="32"/>
          <w:szCs w:val="32"/>
          <w:highlight w:val="none"/>
          <w:u w:val="none"/>
          <w:lang w:val="en-US" w:eastAsia="zh-CN" w:bidi="ar-SA"/>
        </w:rPr>
      </w:pPr>
      <w:r>
        <w:rPr>
          <w:rFonts w:hint="eastAsia" w:ascii="仿宋" w:hAnsi="仿宋" w:eastAsia="仿宋" w:cs="仿宋"/>
          <w:b/>
          <w:bCs/>
          <w:kern w:val="2"/>
          <w:sz w:val="32"/>
          <w:szCs w:val="32"/>
          <w:highlight w:val="none"/>
          <w:u w:val="none"/>
          <w:lang w:val="en-US" w:eastAsia="zh-CN" w:bidi="ar-SA"/>
        </w:rPr>
        <w:t>1.加强理论研究与实践总结----供销社精神根基的强化与筑牢</w:t>
      </w:r>
    </w:p>
    <w:p w14:paraId="32A59203">
      <w:pPr>
        <w:keepNext w:val="0"/>
        <w:keepLines w:val="0"/>
        <w:pageBreakBefore w:val="0"/>
        <w:wordWrap/>
        <w:overflowPunct/>
        <w:topLinePunct w:val="0"/>
        <w:bidi w:val="0"/>
        <w:adjustRightInd/>
        <w:snapToGrid/>
        <w:spacing w:line="240" w:lineRule="auto"/>
        <w:ind w:firstLine="640" w:firstLineChars="200"/>
        <w:jc w:val="both"/>
        <w:rPr>
          <w:rFonts w:hint="eastAsia" w:ascii="仿宋" w:hAnsi="仿宋" w:eastAsia="仿宋" w:cs="仿宋"/>
          <w:sz w:val="32"/>
          <w:szCs w:val="32"/>
          <w:highlight w:val="none"/>
          <w:u w:val="none"/>
          <w:lang w:val="en-US" w:eastAsia="zh-CN"/>
        </w:rPr>
      </w:pPr>
      <w:r>
        <w:rPr>
          <w:rFonts w:hint="eastAsia" w:ascii="仿宋" w:hAnsi="仿宋" w:eastAsia="仿宋" w:cs="仿宋"/>
          <w:sz w:val="32"/>
          <w:szCs w:val="32"/>
          <w:highlight w:val="none"/>
          <w:u w:val="none"/>
          <w:lang w:val="en-US" w:eastAsia="zh-CN"/>
        </w:rPr>
        <w:t>谋划开展全市供销系统“十五五”高质量发展相关主题调研，深入挖掘供销合作社文化资源，开展分级保护、传承弘扬和创新利用工作。</w:t>
      </w:r>
    </w:p>
    <w:p w14:paraId="7EB3AAC1">
      <w:pPr>
        <w:pStyle w:val="2"/>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auto"/>
        <w:rPr>
          <w:rFonts w:hint="default" w:ascii="仿宋" w:hAnsi="仿宋" w:eastAsia="仿宋" w:cs="仿宋"/>
          <w:b/>
          <w:bCs/>
          <w:kern w:val="2"/>
          <w:sz w:val="32"/>
          <w:szCs w:val="32"/>
          <w:highlight w:val="none"/>
          <w:u w:val="none"/>
          <w:lang w:val="en-US" w:eastAsia="zh-CN" w:bidi="ar-SA"/>
        </w:rPr>
      </w:pPr>
      <w:r>
        <w:rPr>
          <w:rFonts w:hint="eastAsia" w:ascii="仿宋" w:hAnsi="仿宋" w:eastAsia="仿宋" w:cs="仿宋"/>
          <w:b/>
          <w:bCs/>
          <w:kern w:val="2"/>
          <w:sz w:val="32"/>
          <w:szCs w:val="32"/>
          <w:highlight w:val="none"/>
          <w:u w:val="none"/>
          <w:lang w:val="en-US" w:eastAsia="zh-CN" w:bidi="ar-SA"/>
        </w:rPr>
        <w:t>2.弘扬“扁担”“背篓”精神----供销社文化内核的传承与弘扬</w:t>
      </w:r>
    </w:p>
    <w:p w14:paraId="143F0F77">
      <w:pPr>
        <w:keepNext w:val="0"/>
        <w:keepLines w:val="0"/>
        <w:pageBreakBefore w:val="0"/>
        <w:wordWrap/>
        <w:overflowPunct/>
        <w:topLinePunct w:val="0"/>
        <w:bidi w:val="0"/>
        <w:adjustRightInd/>
        <w:snapToGrid/>
        <w:spacing w:line="240" w:lineRule="auto"/>
        <w:ind w:firstLine="640" w:firstLineChars="200"/>
        <w:jc w:val="both"/>
        <w:rPr>
          <w:rFonts w:hint="eastAsia" w:ascii="仿宋" w:hAnsi="仿宋" w:eastAsia="仿宋" w:cs="仿宋"/>
          <w:sz w:val="32"/>
          <w:szCs w:val="32"/>
          <w:highlight w:val="none"/>
          <w:u w:val="none"/>
          <w:lang w:val="en-US" w:eastAsia="zh-CN"/>
        </w:rPr>
      </w:pPr>
      <w:r>
        <w:rPr>
          <w:rFonts w:hint="eastAsia" w:ascii="仿宋" w:hAnsi="仿宋" w:eastAsia="仿宋" w:cs="仿宋"/>
          <w:sz w:val="32"/>
          <w:szCs w:val="32"/>
          <w:highlight w:val="none"/>
          <w:u w:val="none"/>
          <w:lang w:val="en-US" w:eastAsia="zh-CN"/>
        </w:rPr>
        <w:t>围绕“扁担”“背篓”精神内涵，开展系统研究与主题研讨，深入挖掘其历史渊源、时代价值和当代意义。举办精神传承研讨会、先进事迹报告会等活动。在强化管理中注重文化引领，推动传统精神与服务创新结合。将“扁担”“背篓”精神教育纳入党组织学习、人才培养、为农服务、企业经营等各个环节，优化运营机制。推动融入实践，赋能事业发展。在农业社会化服务、农产品流通、再生资源回收等业务中，践行诚信、周到、坚韧的服务理念，提升服务品质。在社有企业管理中，推动降本增效与风险防控。开展“寻找老供销”“新时代扁担背篓传人”等活动，树立先进典型。</w:t>
      </w:r>
    </w:p>
    <w:p w14:paraId="3C64D016">
      <w:pPr>
        <w:pStyle w:val="2"/>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auto"/>
        <w:rPr>
          <w:rFonts w:hint="default" w:ascii="仿宋" w:hAnsi="仿宋" w:eastAsia="仿宋" w:cs="仿宋"/>
          <w:b/>
          <w:bCs/>
          <w:kern w:val="2"/>
          <w:sz w:val="32"/>
          <w:szCs w:val="32"/>
          <w:highlight w:val="none"/>
          <w:u w:val="none"/>
          <w:lang w:val="en-US" w:eastAsia="zh-CN" w:bidi="ar-SA"/>
        </w:rPr>
      </w:pPr>
      <w:r>
        <w:rPr>
          <w:rFonts w:hint="eastAsia" w:ascii="仿宋" w:hAnsi="仿宋" w:eastAsia="仿宋" w:cs="仿宋"/>
          <w:b/>
          <w:bCs/>
          <w:kern w:val="2"/>
          <w:sz w:val="32"/>
          <w:szCs w:val="32"/>
          <w:highlight w:val="none"/>
          <w:u w:val="none"/>
          <w:lang w:val="en-US" w:eastAsia="zh-CN" w:bidi="ar-SA"/>
        </w:rPr>
        <w:t>3.弘扬合作精神合作文化----合作文化的培育与价值共识的深化</w:t>
      </w:r>
    </w:p>
    <w:p w14:paraId="4FDC4636">
      <w:pPr>
        <w:keepNext w:val="0"/>
        <w:keepLines w:val="0"/>
        <w:pageBreakBefore w:val="0"/>
        <w:wordWrap/>
        <w:overflowPunct/>
        <w:topLinePunct w:val="0"/>
        <w:bidi w:val="0"/>
        <w:adjustRightInd/>
        <w:snapToGrid/>
        <w:spacing w:line="240" w:lineRule="auto"/>
        <w:ind w:firstLine="640" w:firstLineChars="200"/>
        <w:jc w:val="both"/>
        <w:rPr>
          <w:rFonts w:hint="eastAsia" w:ascii="仿宋" w:hAnsi="仿宋" w:eastAsia="仿宋" w:cs="仿宋"/>
          <w:sz w:val="32"/>
          <w:szCs w:val="32"/>
          <w:highlight w:val="none"/>
          <w:u w:val="none"/>
          <w:lang w:val="en-US" w:eastAsia="zh-CN"/>
        </w:rPr>
      </w:pPr>
      <w:r>
        <w:rPr>
          <w:rFonts w:hint="eastAsia" w:ascii="仿宋" w:hAnsi="仿宋" w:eastAsia="仿宋" w:cs="仿宋"/>
          <w:sz w:val="32"/>
          <w:szCs w:val="32"/>
          <w:highlight w:val="none"/>
          <w:u w:val="none"/>
          <w:lang w:val="en-US" w:eastAsia="zh-CN"/>
        </w:rPr>
        <w:t>开放办社，持续探索“村社共建”模式，与村集体经济组织深度合作，发展服务型集体经济，</w:t>
      </w:r>
      <w:r>
        <w:rPr>
          <w:rFonts w:hint="default" w:ascii="仿宋" w:hAnsi="仿宋" w:eastAsia="仿宋" w:cs="仿宋"/>
          <w:sz w:val="32"/>
          <w:szCs w:val="32"/>
          <w:highlight w:val="none"/>
          <w:u w:val="none"/>
          <w:lang w:val="en-US" w:eastAsia="zh-CN"/>
        </w:rPr>
        <w:t>带动农户融入供销产业链</w:t>
      </w:r>
      <w:r>
        <w:rPr>
          <w:rFonts w:hint="eastAsia" w:ascii="仿宋" w:hAnsi="仿宋" w:eastAsia="仿宋" w:cs="仿宋"/>
          <w:sz w:val="32"/>
          <w:szCs w:val="32"/>
          <w:highlight w:val="none"/>
          <w:u w:val="none"/>
          <w:lang w:val="en-US" w:eastAsia="zh-CN"/>
        </w:rPr>
        <w:t>。领办创办一批服务导向鲜明的农民专业合作社，培育市级示范性农业社会化服务主体。培育或引进服务能力强、管理规范的本地骨干农服企业，建设标准化区域性综合农事服务中心。与省农科院等科研院所合作，推广特色、优质、绿色农产品，引进或合作新型肥料、生物农药生产线，实现本地化生产与定制化服务。</w:t>
      </w:r>
    </w:p>
    <w:p w14:paraId="6FC0BF86">
      <w:pPr>
        <w:pStyle w:val="2"/>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auto"/>
        <w:rPr>
          <w:rFonts w:hint="default" w:ascii="仿宋" w:hAnsi="仿宋" w:eastAsia="仿宋" w:cs="仿宋"/>
          <w:b/>
          <w:bCs/>
          <w:kern w:val="2"/>
          <w:sz w:val="32"/>
          <w:szCs w:val="32"/>
          <w:highlight w:val="none"/>
          <w:u w:val="none"/>
          <w:lang w:val="en-US" w:eastAsia="zh-CN" w:bidi="ar-SA"/>
        </w:rPr>
      </w:pPr>
      <w:r>
        <w:rPr>
          <w:rFonts w:hint="eastAsia" w:ascii="仿宋" w:hAnsi="仿宋" w:eastAsia="仿宋" w:cs="仿宋"/>
          <w:b/>
          <w:bCs/>
          <w:kern w:val="2"/>
          <w:sz w:val="32"/>
          <w:szCs w:val="32"/>
          <w:highlight w:val="none"/>
          <w:u w:val="none"/>
          <w:lang w:val="en-US" w:eastAsia="zh-CN" w:bidi="ar-SA"/>
        </w:rPr>
        <w:t>4.推进供销品牌提升工程----品牌形象的塑造与社会影响力的提升</w:t>
      </w:r>
    </w:p>
    <w:p w14:paraId="511520E8">
      <w:pPr>
        <w:keepNext w:val="0"/>
        <w:keepLines w:val="0"/>
        <w:pageBreakBefore w:val="0"/>
        <w:widowControl w:val="0"/>
        <w:kinsoku/>
        <w:wordWrap/>
        <w:overflowPunct/>
        <w:topLinePunct w:val="0"/>
        <w:autoSpaceDE/>
        <w:autoSpaceDN/>
        <w:bidi w:val="0"/>
        <w:adjustRightInd/>
        <w:snapToGrid/>
        <w:spacing w:line="240" w:lineRule="auto"/>
        <w:ind w:firstLine="660" w:firstLineChars="200"/>
        <w:jc w:val="both"/>
        <w:textAlignment w:val="auto"/>
        <w:rPr>
          <w:rFonts w:hint="eastAsia" w:ascii="仿宋" w:hAnsi="仿宋" w:eastAsia="仿宋" w:cs="仿宋"/>
          <w:b/>
          <w:bCs w:val="0"/>
          <w:sz w:val="32"/>
          <w:szCs w:val="32"/>
          <w:highlight w:val="none"/>
          <w:u w:val="none"/>
          <w:lang w:val="en-US" w:eastAsia="zh-CN"/>
        </w:rPr>
      </w:pPr>
      <w:r>
        <w:rPr>
          <w:rFonts w:hint="eastAsia" w:ascii="仿宋" w:hAnsi="仿宋" w:eastAsia="仿宋" w:cs="仿宋"/>
          <w:b w:val="0"/>
          <w:bCs/>
          <w:spacing w:val="10"/>
          <w:sz w:val="31"/>
          <w:szCs w:val="31"/>
          <w:highlight w:val="none"/>
          <w:u w:val="none"/>
          <w:lang w:eastAsia="zh-CN"/>
        </w:rPr>
        <w:t>坚持“一必须四坚持”品牌建设原则。所有品牌建设活动</w:t>
      </w:r>
      <w:r>
        <w:rPr>
          <w:rFonts w:hint="eastAsia" w:ascii="仿宋" w:hAnsi="仿宋" w:eastAsia="仿宋" w:cs="仿宋"/>
          <w:b/>
          <w:bCs w:val="0"/>
          <w:spacing w:val="10"/>
          <w:sz w:val="31"/>
          <w:szCs w:val="31"/>
          <w:highlight w:val="none"/>
          <w:u w:val="none"/>
          <w:lang w:eastAsia="zh-CN"/>
        </w:rPr>
        <w:t>必须</w:t>
      </w:r>
      <w:r>
        <w:rPr>
          <w:rFonts w:hint="eastAsia" w:ascii="仿宋" w:hAnsi="仿宋" w:eastAsia="仿宋" w:cs="仿宋"/>
          <w:b w:val="0"/>
          <w:bCs/>
          <w:spacing w:val="10"/>
          <w:sz w:val="31"/>
          <w:szCs w:val="31"/>
          <w:highlight w:val="none"/>
          <w:u w:val="none"/>
          <w:lang w:eastAsia="zh-CN"/>
        </w:rPr>
        <w:t>围绕农业、农村、农民需求展开，体现供销社的使命担当。</w:t>
      </w:r>
      <w:r>
        <w:rPr>
          <w:rFonts w:hint="eastAsia" w:ascii="仿宋" w:hAnsi="仿宋" w:eastAsia="仿宋" w:cs="仿宋"/>
          <w:b/>
          <w:bCs w:val="0"/>
          <w:spacing w:val="10"/>
          <w:sz w:val="31"/>
          <w:szCs w:val="31"/>
          <w:highlight w:val="none"/>
          <w:u w:val="none"/>
          <w:lang w:eastAsia="zh-CN"/>
        </w:rPr>
        <w:t>坚持</w:t>
      </w:r>
      <w:r>
        <w:rPr>
          <w:rFonts w:hint="eastAsia" w:ascii="仿宋" w:hAnsi="仿宋" w:eastAsia="仿宋" w:cs="仿宋"/>
          <w:b w:val="0"/>
          <w:bCs/>
          <w:spacing w:val="10"/>
          <w:sz w:val="31"/>
          <w:szCs w:val="31"/>
          <w:highlight w:val="none"/>
          <w:u w:val="none"/>
          <w:lang w:eastAsia="zh-CN"/>
        </w:rPr>
        <w:t>质量为本、信誉至上。将产品质量、服务质量作为品牌生命线，健全标准和全程管控体系。</w:t>
      </w:r>
      <w:r>
        <w:rPr>
          <w:rFonts w:hint="eastAsia" w:ascii="仿宋" w:hAnsi="仿宋" w:eastAsia="仿宋" w:cs="仿宋"/>
          <w:b/>
          <w:bCs w:val="0"/>
          <w:spacing w:val="10"/>
          <w:sz w:val="31"/>
          <w:szCs w:val="31"/>
          <w:highlight w:val="none"/>
          <w:u w:val="none"/>
          <w:lang w:eastAsia="zh-CN"/>
        </w:rPr>
        <w:t>坚持</w:t>
      </w:r>
      <w:r>
        <w:rPr>
          <w:rFonts w:hint="eastAsia" w:ascii="仿宋" w:hAnsi="仿宋" w:eastAsia="仿宋" w:cs="仿宋"/>
          <w:b w:val="0"/>
          <w:bCs/>
          <w:spacing w:val="10"/>
          <w:sz w:val="31"/>
          <w:szCs w:val="31"/>
          <w:highlight w:val="none"/>
          <w:u w:val="none"/>
          <w:lang w:eastAsia="zh-CN"/>
        </w:rPr>
        <w:t>守正创新、协同推进。传承优良传统，融入现代元素，推动品牌理念、视觉形象、产品服务、传播方式的创新。</w:t>
      </w:r>
      <w:r>
        <w:rPr>
          <w:rFonts w:hint="eastAsia" w:ascii="仿宋" w:hAnsi="仿宋" w:eastAsia="仿宋" w:cs="仿宋"/>
          <w:b/>
          <w:bCs w:val="0"/>
          <w:spacing w:val="10"/>
          <w:sz w:val="31"/>
          <w:szCs w:val="31"/>
          <w:highlight w:val="none"/>
          <w:u w:val="none"/>
          <w:lang w:eastAsia="zh-CN"/>
        </w:rPr>
        <w:t>坚持</w:t>
      </w:r>
      <w:r>
        <w:rPr>
          <w:rFonts w:hint="eastAsia" w:ascii="仿宋" w:hAnsi="仿宋" w:eastAsia="仿宋" w:cs="仿宋"/>
          <w:b w:val="0"/>
          <w:bCs/>
          <w:spacing w:val="10"/>
          <w:sz w:val="31"/>
          <w:szCs w:val="31"/>
          <w:highlight w:val="none"/>
          <w:u w:val="none"/>
          <w:lang w:eastAsia="zh-CN"/>
        </w:rPr>
        <w:t>开放合作、共建共享。联合各类涉农主体，构建品牌共建生态共同体。</w:t>
      </w:r>
      <w:r>
        <w:rPr>
          <w:rFonts w:hint="eastAsia" w:ascii="仿宋" w:hAnsi="仿宋" w:eastAsia="仿宋" w:cs="仿宋"/>
          <w:b/>
          <w:bCs w:val="0"/>
          <w:spacing w:val="10"/>
          <w:sz w:val="31"/>
          <w:szCs w:val="31"/>
          <w:highlight w:val="none"/>
          <w:u w:val="none"/>
          <w:lang w:eastAsia="zh-CN"/>
        </w:rPr>
        <w:t>坚持</w:t>
      </w:r>
      <w:r>
        <w:rPr>
          <w:rFonts w:hint="eastAsia" w:ascii="仿宋" w:hAnsi="仿宋" w:eastAsia="仿宋" w:cs="仿宋"/>
          <w:b w:val="0"/>
          <w:bCs/>
          <w:spacing w:val="10"/>
          <w:sz w:val="31"/>
          <w:szCs w:val="31"/>
          <w:highlight w:val="none"/>
          <w:u w:val="none"/>
          <w:lang w:eastAsia="zh-CN"/>
        </w:rPr>
        <w:t>系统谋划重点突破。选择基础好、潜力大的领域和区域先行示范。培育品牌专业人才，建设懂品牌、善经营的人才队伍，统一认识，汇聚力量，共同擦亮供销社“金字招牌”。构建以“供销社”公共品牌为统领，以“鄂合精选”为优质农产品品牌，以特色农产品品牌与社有企业产品品牌为基础的多层级品牌体系。持续提升“供销合作社”公共品牌及产品品牌知名度、美誉度、忠诚度。</w:t>
      </w:r>
    </w:p>
    <w:p w14:paraId="0F003040">
      <w:pPr>
        <w:pStyle w:val="2"/>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auto"/>
        <w:rPr>
          <w:rFonts w:hint="default" w:ascii="仿宋" w:hAnsi="仿宋" w:eastAsia="仿宋" w:cs="仿宋"/>
          <w:b/>
          <w:bCs/>
          <w:kern w:val="2"/>
          <w:sz w:val="32"/>
          <w:szCs w:val="32"/>
          <w:highlight w:val="none"/>
          <w:u w:val="none"/>
          <w:lang w:val="en-US" w:eastAsia="zh-CN" w:bidi="ar-SA"/>
        </w:rPr>
      </w:pPr>
      <w:r>
        <w:rPr>
          <w:rFonts w:hint="eastAsia" w:ascii="仿宋" w:hAnsi="仿宋" w:eastAsia="仿宋" w:cs="仿宋"/>
          <w:b/>
          <w:bCs/>
          <w:kern w:val="2"/>
          <w:sz w:val="32"/>
          <w:szCs w:val="32"/>
          <w:highlight w:val="none"/>
          <w:u w:val="none"/>
          <w:lang w:val="en-US" w:eastAsia="zh-CN" w:bidi="ar-SA"/>
        </w:rPr>
        <w:t>5.不断推动供销合作社法治化建设----制度规范的完善与运行机制的法治保障</w:t>
      </w:r>
    </w:p>
    <w:p w14:paraId="23934345">
      <w:pPr>
        <w:keepNext w:val="0"/>
        <w:keepLines w:val="0"/>
        <w:pageBreakBefore w:val="0"/>
        <w:wordWrap/>
        <w:overflowPunct/>
        <w:topLinePunct w:val="0"/>
        <w:bidi w:val="0"/>
        <w:adjustRightInd/>
        <w:snapToGrid/>
        <w:spacing w:line="240" w:lineRule="auto"/>
        <w:ind w:firstLine="640" w:firstLineChars="200"/>
        <w:jc w:val="both"/>
        <w:rPr>
          <w:rFonts w:hint="eastAsia" w:ascii="仿宋" w:hAnsi="仿宋" w:eastAsia="仿宋" w:cs="仿宋"/>
          <w:sz w:val="32"/>
          <w:szCs w:val="32"/>
          <w:highlight w:val="none"/>
          <w:u w:val="none"/>
          <w:lang w:val="en-US" w:eastAsia="zh-CN"/>
        </w:rPr>
      </w:pPr>
      <w:r>
        <w:rPr>
          <w:rFonts w:hint="eastAsia" w:ascii="仿宋" w:hAnsi="仿宋" w:eastAsia="仿宋" w:cs="仿宋"/>
          <w:sz w:val="32"/>
          <w:szCs w:val="32"/>
          <w:highlight w:val="none"/>
          <w:u w:val="none"/>
          <w:lang w:val="en-US" w:eastAsia="zh-CN"/>
        </w:rPr>
        <w:t>及时总结深化供销合作社综合改革工作推进方案实践成果，持续深化供销合作社法治化建设。认真贯彻实施新修订的《农民专业合作社法》等。聘请专业团队应对法律与市场风险。加强商标注册、保护与管理，依法打击侵权假冒行为，维护品牌权益。</w:t>
      </w:r>
    </w:p>
    <w:p w14:paraId="3AE3CD61">
      <w:pPr>
        <w:pStyle w:val="3"/>
        <w:bidi w:val="0"/>
        <w:rPr>
          <w:rFonts w:hint="default"/>
          <w:lang w:val="en-US" w:eastAsia="zh-CN"/>
        </w:rPr>
      </w:pPr>
      <w:bookmarkStart w:id="64" w:name="_Toc13979"/>
      <w:r>
        <w:rPr>
          <w:rFonts w:hint="eastAsia"/>
          <w:lang w:val="en-US" w:eastAsia="zh-CN"/>
        </w:rPr>
        <w:t>十五、统筹发展和安全，建设“平安供销”</w:t>
      </w:r>
      <w:bookmarkEnd w:id="64"/>
    </w:p>
    <w:p w14:paraId="0156EA2B">
      <w:pPr>
        <w:pStyle w:val="4"/>
        <w:bidi w:val="0"/>
        <w:ind w:firstLine="880"/>
        <w:rPr>
          <w:rFonts w:hint="default" w:ascii="Arial" w:hAnsi="Arial"/>
          <w:b w:val="0"/>
          <w:lang w:val="en-US" w:eastAsia="zh-CN"/>
        </w:rPr>
      </w:pPr>
      <w:bookmarkStart w:id="65" w:name="_Toc17585"/>
      <w:r>
        <w:rPr>
          <w:rFonts w:hint="eastAsia" w:ascii="Arial" w:hAnsi="Arial"/>
          <w:b w:val="0"/>
          <w:lang w:val="en-US" w:eastAsia="zh-CN"/>
        </w:rPr>
        <w:t>（一）</w:t>
      </w:r>
      <w:r>
        <w:rPr>
          <w:rFonts w:hint="default" w:ascii="Arial" w:hAnsi="Arial"/>
          <w:b w:val="0"/>
          <w:lang w:val="en-US" w:eastAsia="zh-CN"/>
        </w:rPr>
        <w:t>任务目标</w:t>
      </w:r>
      <w:bookmarkEnd w:id="65"/>
    </w:p>
    <w:p w14:paraId="158027C1">
      <w:pPr>
        <w:keepNext w:val="0"/>
        <w:keepLines w:val="0"/>
        <w:pageBreakBefore w:val="0"/>
        <w:wordWrap/>
        <w:overflowPunct/>
        <w:topLinePunct w:val="0"/>
        <w:bidi w:val="0"/>
        <w:adjustRightInd/>
        <w:snapToGrid/>
        <w:spacing w:line="240" w:lineRule="auto"/>
        <w:ind w:firstLine="640" w:firstLineChars="200"/>
        <w:jc w:val="both"/>
        <w:rPr>
          <w:rFonts w:hint="default" w:ascii="仿宋" w:hAnsi="仿宋" w:eastAsia="仿宋" w:cs="仿宋"/>
          <w:sz w:val="32"/>
          <w:szCs w:val="32"/>
          <w:highlight w:val="none"/>
          <w:u w:val="none"/>
        </w:rPr>
      </w:pPr>
      <w:r>
        <w:rPr>
          <w:rFonts w:hint="default" w:ascii="仿宋" w:hAnsi="仿宋" w:eastAsia="仿宋" w:cs="仿宋"/>
          <w:sz w:val="32"/>
          <w:szCs w:val="32"/>
          <w:highlight w:val="none"/>
          <w:u w:val="none"/>
        </w:rPr>
        <w:t>深刻认识安全是发展的前提、发展是安全的保障，坚持统筹谋划、同步推进、协同发力。筑牢安全发展思想根基，聚焦关键领域构建全链条风险防控体系，健全长效机制凝聚齐抓共管合力。到2030年，全面建成更高水平的“平安供销”，为供销合作事业行稳致远提供坚实保障，确保在服务“三农”和城乡融合发展中根基永固、血脉长存。</w:t>
      </w:r>
    </w:p>
    <w:p w14:paraId="61F95FA5">
      <w:pPr>
        <w:pStyle w:val="4"/>
        <w:bidi w:val="0"/>
        <w:ind w:firstLine="880"/>
        <w:rPr>
          <w:rFonts w:hint="default" w:ascii="Arial" w:hAnsi="Arial"/>
          <w:b w:val="0"/>
          <w:lang w:val="en-US" w:eastAsia="zh-CN"/>
        </w:rPr>
      </w:pPr>
      <w:bookmarkStart w:id="66" w:name="_Toc22024"/>
      <w:r>
        <w:rPr>
          <w:rFonts w:hint="eastAsia" w:ascii="Arial" w:hAnsi="Arial"/>
          <w:b w:val="0"/>
          <w:lang w:val="en-US" w:eastAsia="zh-CN"/>
        </w:rPr>
        <w:t>（二）分年度计划</w:t>
      </w:r>
      <w:bookmarkEnd w:id="66"/>
    </w:p>
    <w:p w14:paraId="5752B9E2">
      <w:pPr>
        <w:pStyle w:val="2"/>
        <w:keepNext w:val="0"/>
        <w:keepLines w:val="0"/>
        <w:pageBreakBefore w:val="0"/>
        <w:wordWrap/>
        <w:overflowPunct/>
        <w:topLinePunct w:val="0"/>
        <w:bidi w:val="0"/>
        <w:adjustRightInd/>
        <w:snapToGrid/>
        <w:spacing w:line="240" w:lineRule="auto"/>
        <w:ind w:firstLine="640" w:firstLineChars="200"/>
        <w:jc w:val="both"/>
        <w:rPr>
          <w:rFonts w:hint="eastAsia" w:ascii="仿宋" w:hAnsi="仿宋" w:eastAsia="仿宋" w:cs="仿宋"/>
          <w:b w:val="0"/>
          <w:bCs w:val="0"/>
          <w:kern w:val="2"/>
          <w:sz w:val="32"/>
          <w:szCs w:val="32"/>
          <w:highlight w:val="none"/>
          <w:u w:val="none"/>
          <w:lang w:val="en-US" w:eastAsia="zh-CN" w:bidi="ar-SA"/>
        </w:rPr>
      </w:pPr>
      <w:r>
        <w:rPr>
          <w:rFonts w:hint="eastAsia" w:ascii="仿宋" w:hAnsi="仿宋" w:eastAsia="仿宋" w:cs="仿宋"/>
          <w:b w:val="0"/>
          <w:bCs w:val="0"/>
          <w:kern w:val="2"/>
          <w:sz w:val="32"/>
          <w:szCs w:val="32"/>
          <w:highlight w:val="none"/>
          <w:u w:val="none"/>
          <w:lang w:val="en-US" w:eastAsia="zh-CN" w:bidi="ar-SA"/>
        </w:rPr>
        <w:t>2026年：在全系统开展安全发展思想大学习、大讨论。完成重点领域风险摸排，制定防控责任清单。启动安全管理制度修订。</w:t>
      </w:r>
    </w:p>
    <w:p w14:paraId="0B009585">
      <w:pPr>
        <w:pStyle w:val="2"/>
        <w:keepNext w:val="0"/>
        <w:keepLines w:val="0"/>
        <w:pageBreakBefore w:val="0"/>
        <w:wordWrap/>
        <w:overflowPunct/>
        <w:topLinePunct w:val="0"/>
        <w:bidi w:val="0"/>
        <w:adjustRightInd/>
        <w:snapToGrid/>
        <w:spacing w:line="240" w:lineRule="auto"/>
        <w:ind w:firstLine="640" w:firstLineChars="200"/>
        <w:jc w:val="both"/>
        <w:rPr>
          <w:rFonts w:hint="eastAsia" w:ascii="仿宋" w:hAnsi="仿宋" w:eastAsia="仿宋" w:cs="仿宋"/>
          <w:b w:val="0"/>
          <w:bCs w:val="0"/>
          <w:kern w:val="2"/>
          <w:sz w:val="32"/>
          <w:szCs w:val="32"/>
          <w:highlight w:val="none"/>
          <w:u w:val="none"/>
          <w:lang w:val="en-US" w:eastAsia="zh-CN" w:bidi="ar-SA"/>
        </w:rPr>
      </w:pPr>
      <w:r>
        <w:rPr>
          <w:rFonts w:hint="eastAsia" w:ascii="仿宋" w:hAnsi="仿宋" w:eastAsia="仿宋" w:cs="仿宋"/>
          <w:b w:val="0"/>
          <w:bCs w:val="0"/>
          <w:kern w:val="2"/>
          <w:sz w:val="32"/>
          <w:szCs w:val="32"/>
          <w:highlight w:val="none"/>
          <w:u w:val="none"/>
          <w:lang w:val="en-US" w:eastAsia="zh-CN" w:bidi="ar-SA"/>
        </w:rPr>
        <w:t>2027年：安全发展理念深入人心。流通、资产、网络等重点领域风险防控措施全面落实。安全责任体系与协同机制初步建立。</w:t>
      </w:r>
    </w:p>
    <w:p w14:paraId="10CB5ACC">
      <w:pPr>
        <w:pStyle w:val="2"/>
        <w:keepNext w:val="0"/>
        <w:keepLines w:val="0"/>
        <w:pageBreakBefore w:val="0"/>
        <w:wordWrap/>
        <w:overflowPunct/>
        <w:topLinePunct w:val="0"/>
        <w:bidi w:val="0"/>
        <w:adjustRightInd/>
        <w:snapToGrid/>
        <w:spacing w:line="240" w:lineRule="auto"/>
        <w:ind w:firstLine="640" w:firstLineChars="200"/>
        <w:jc w:val="both"/>
        <w:rPr>
          <w:rFonts w:hint="eastAsia" w:ascii="仿宋" w:hAnsi="仿宋" w:eastAsia="仿宋" w:cs="仿宋"/>
          <w:b w:val="0"/>
          <w:bCs w:val="0"/>
          <w:kern w:val="2"/>
          <w:sz w:val="32"/>
          <w:szCs w:val="32"/>
          <w:highlight w:val="none"/>
          <w:u w:val="none"/>
          <w:lang w:val="en-US" w:eastAsia="zh-CN" w:bidi="ar-SA"/>
        </w:rPr>
      </w:pPr>
      <w:r>
        <w:rPr>
          <w:rFonts w:hint="eastAsia" w:ascii="仿宋" w:hAnsi="仿宋" w:eastAsia="仿宋" w:cs="仿宋"/>
          <w:b w:val="0"/>
          <w:bCs w:val="0"/>
          <w:kern w:val="2"/>
          <w:sz w:val="32"/>
          <w:szCs w:val="32"/>
          <w:highlight w:val="none"/>
          <w:u w:val="none"/>
          <w:lang w:val="en-US" w:eastAsia="zh-CN" w:bidi="ar-SA"/>
        </w:rPr>
        <w:t>2028年：全链条风险防控体系基本建成，关键环节实现可追溯、可监控。应急处置能力显著提升。安全文化建设取得成效。</w:t>
      </w:r>
    </w:p>
    <w:p w14:paraId="10E711C4">
      <w:pPr>
        <w:pStyle w:val="2"/>
        <w:keepNext w:val="0"/>
        <w:keepLines w:val="0"/>
        <w:pageBreakBefore w:val="0"/>
        <w:wordWrap/>
        <w:overflowPunct/>
        <w:topLinePunct w:val="0"/>
        <w:bidi w:val="0"/>
        <w:adjustRightInd/>
        <w:snapToGrid/>
        <w:spacing w:line="240" w:lineRule="auto"/>
        <w:ind w:firstLine="640" w:firstLineChars="200"/>
        <w:jc w:val="both"/>
        <w:rPr>
          <w:rFonts w:hint="eastAsia" w:ascii="仿宋" w:hAnsi="仿宋" w:eastAsia="仿宋" w:cs="仿宋"/>
          <w:b w:val="0"/>
          <w:bCs w:val="0"/>
          <w:kern w:val="2"/>
          <w:sz w:val="32"/>
          <w:szCs w:val="32"/>
          <w:highlight w:val="none"/>
          <w:u w:val="none"/>
          <w:lang w:val="en-US" w:eastAsia="zh-CN" w:bidi="ar-SA"/>
        </w:rPr>
      </w:pPr>
      <w:r>
        <w:rPr>
          <w:rFonts w:hint="eastAsia" w:ascii="仿宋" w:hAnsi="仿宋" w:eastAsia="仿宋" w:cs="仿宋"/>
          <w:b w:val="0"/>
          <w:bCs w:val="0"/>
          <w:kern w:val="2"/>
          <w:sz w:val="32"/>
          <w:szCs w:val="32"/>
          <w:highlight w:val="none"/>
          <w:u w:val="none"/>
          <w:lang w:val="en-US" w:eastAsia="zh-CN" w:bidi="ar-SA"/>
        </w:rPr>
        <w:t>2029年：“平安供销”建设达到较高水平，风险防控实现常态化、精细化、智能化。安全稳定的发展环境成为系统核心竞争力之一。</w:t>
      </w:r>
    </w:p>
    <w:p w14:paraId="5C23AFC6">
      <w:pPr>
        <w:pStyle w:val="2"/>
        <w:keepNext w:val="0"/>
        <w:keepLines w:val="0"/>
        <w:pageBreakBefore w:val="0"/>
        <w:wordWrap/>
        <w:overflowPunct/>
        <w:topLinePunct w:val="0"/>
        <w:bidi w:val="0"/>
        <w:adjustRightInd/>
        <w:snapToGrid/>
        <w:spacing w:line="240" w:lineRule="auto"/>
        <w:ind w:firstLine="640" w:firstLineChars="200"/>
        <w:jc w:val="both"/>
        <w:rPr>
          <w:rFonts w:hint="default"/>
          <w:b w:val="0"/>
          <w:bCs/>
          <w:sz w:val="32"/>
          <w:szCs w:val="32"/>
          <w:highlight w:val="none"/>
          <w:u w:val="none"/>
          <w:lang w:val="en-US" w:eastAsia="zh-CN"/>
        </w:rPr>
      </w:pPr>
      <w:r>
        <w:rPr>
          <w:rFonts w:hint="eastAsia" w:ascii="仿宋" w:hAnsi="仿宋" w:eastAsia="仿宋" w:cs="仿宋"/>
          <w:b w:val="0"/>
          <w:bCs w:val="0"/>
          <w:kern w:val="2"/>
          <w:sz w:val="32"/>
          <w:szCs w:val="32"/>
          <w:highlight w:val="none"/>
          <w:u w:val="none"/>
          <w:lang w:val="en-US" w:eastAsia="zh-CN" w:bidi="ar-SA"/>
        </w:rPr>
        <w:t>2030年：全面建成与发展水平相匹配的“平安供销”体系，实现高质量发展与高水平安全良性互动。</w:t>
      </w:r>
    </w:p>
    <w:p w14:paraId="15A5C548">
      <w:pPr>
        <w:pStyle w:val="4"/>
        <w:bidi w:val="0"/>
        <w:ind w:firstLine="880"/>
        <w:rPr>
          <w:rFonts w:hint="default" w:ascii="Arial" w:hAnsi="Arial"/>
          <w:b w:val="0"/>
          <w:lang w:val="en-US" w:eastAsia="zh-CN"/>
        </w:rPr>
      </w:pPr>
      <w:bookmarkStart w:id="67" w:name="_Toc24299"/>
      <w:r>
        <w:rPr>
          <w:rFonts w:hint="eastAsia" w:ascii="Arial" w:hAnsi="Arial"/>
          <w:b w:val="0"/>
          <w:lang w:eastAsia="zh-CN"/>
        </w:rPr>
        <w:t>（</w:t>
      </w:r>
      <w:r>
        <w:rPr>
          <w:rFonts w:hint="eastAsia" w:ascii="Arial" w:hAnsi="Arial"/>
          <w:b w:val="0"/>
          <w:lang w:val="en-US" w:eastAsia="zh-CN"/>
        </w:rPr>
        <w:t>三</w:t>
      </w:r>
      <w:r>
        <w:rPr>
          <w:rFonts w:hint="eastAsia" w:ascii="Arial" w:hAnsi="Arial"/>
          <w:b w:val="0"/>
          <w:lang w:eastAsia="zh-CN"/>
        </w:rPr>
        <w:t>）</w:t>
      </w:r>
      <w:r>
        <w:rPr>
          <w:rFonts w:hint="eastAsia" w:ascii="Arial" w:hAnsi="Arial"/>
          <w:b w:val="0"/>
          <w:lang w:val="en-US" w:eastAsia="zh-CN"/>
        </w:rPr>
        <w:t>具体措施</w:t>
      </w:r>
      <w:bookmarkEnd w:id="67"/>
    </w:p>
    <w:p w14:paraId="4D16AFA6">
      <w:pPr>
        <w:keepNext w:val="0"/>
        <w:keepLines w:val="0"/>
        <w:pageBreakBefore w:val="0"/>
        <w:wordWrap/>
        <w:overflowPunct/>
        <w:topLinePunct w:val="0"/>
        <w:bidi w:val="0"/>
        <w:adjustRightInd/>
        <w:snapToGrid/>
        <w:spacing w:line="240" w:lineRule="auto"/>
        <w:ind w:firstLine="643" w:firstLineChars="200"/>
        <w:jc w:val="both"/>
        <w:rPr>
          <w:rFonts w:hint="eastAsia" w:ascii="仿宋" w:hAnsi="仿宋" w:eastAsia="仿宋" w:cs="仿宋"/>
          <w:sz w:val="32"/>
          <w:szCs w:val="32"/>
          <w:highlight w:val="none"/>
          <w:u w:val="none"/>
          <w:lang w:eastAsia="zh-CN"/>
        </w:rPr>
      </w:pPr>
      <w:r>
        <w:rPr>
          <w:rFonts w:hint="eastAsia" w:ascii="仿宋" w:hAnsi="仿宋" w:eastAsia="仿宋" w:cs="仿宋"/>
          <w:b/>
          <w:bCs/>
          <w:sz w:val="32"/>
          <w:szCs w:val="32"/>
          <w:highlight w:val="none"/>
          <w:u w:val="none"/>
          <w:lang w:val="en-US" w:eastAsia="zh-CN"/>
        </w:rPr>
        <w:t>1.</w:t>
      </w:r>
      <w:r>
        <w:rPr>
          <w:rFonts w:hint="eastAsia" w:ascii="仿宋" w:hAnsi="仿宋" w:eastAsia="仿宋" w:cs="仿宋"/>
          <w:b/>
          <w:bCs/>
          <w:sz w:val="32"/>
          <w:szCs w:val="32"/>
          <w:highlight w:val="none"/>
          <w:u w:val="none"/>
        </w:rPr>
        <w:t>坚持系统观念，筑牢安全发展思想根基</w:t>
      </w:r>
      <w:r>
        <w:rPr>
          <w:rFonts w:hint="eastAsia" w:ascii="仿宋" w:hAnsi="仿宋" w:eastAsia="仿宋" w:cs="仿宋"/>
          <w:b/>
          <w:bCs/>
          <w:sz w:val="32"/>
          <w:szCs w:val="32"/>
          <w:highlight w:val="none"/>
          <w:u w:val="none"/>
          <w:lang w:eastAsia="zh-CN"/>
        </w:rPr>
        <w:t>。</w:t>
      </w:r>
      <w:r>
        <w:rPr>
          <w:rFonts w:hint="eastAsia" w:ascii="仿宋" w:hAnsi="仿宋" w:eastAsia="仿宋" w:cs="仿宋"/>
          <w:sz w:val="32"/>
          <w:szCs w:val="32"/>
          <w:highlight w:val="none"/>
          <w:u w:val="none"/>
          <w:lang w:eastAsia="zh-CN"/>
        </w:rPr>
        <w:t>“</w:t>
      </w:r>
      <w:r>
        <w:rPr>
          <w:rFonts w:hint="eastAsia" w:ascii="仿宋" w:hAnsi="仿宋" w:eastAsia="仿宋" w:cs="仿宋"/>
          <w:sz w:val="32"/>
          <w:szCs w:val="32"/>
          <w:highlight w:val="none"/>
          <w:u w:val="none"/>
        </w:rPr>
        <w:t>统筹发展和安全，建设更高水平平安供销</w:t>
      </w:r>
      <w:r>
        <w:rPr>
          <w:rFonts w:hint="eastAsia" w:ascii="仿宋" w:hAnsi="仿宋" w:eastAsia="仿宋" w:cs="仿宋"/>
          <w:sz w:val="32"/>
          <w:szCs w:val="32"/>
          <w:highlight w:val="none"/>
          <w:u w:val="none"/>
          <w:lang w:eastAsia="zh-CN"/>
        </w:rPr>
        <w:t>”</w:t>
      </w:r>
      <w:r>
        <w:rPr>
          <w:rFonts w:hint="eastAsia" w:ascii="仿宋" w:hAnsi="仿宋" w:eastAsia="仿宋" w:cs="仿宋"/>
          <w:sz w:val="32"/>
          <w:szCs w:val="32"/>
          <w:highlight w:val="none"/>
          <w:u w:val="none"/>
        </w:rPr>
        <w:t>的战略任务，不仅是贯彻总体国家安全观的必然要求，更是推动供销合作事业行稳致远的根本保障。</w:t>
      </w:r>
      <w:r>
        <w:rPr>
          <w:rFonts w:hint="default" w:ascii="仿宋" w:hAnsi="仿宋" w:eastAsia="仿宋" w:cs="仿宋"/>
          <w:sz w:val="32"/>
          <w:szCs w:val="32"/>
          <w:highlight w:val="none"/>
          <w:u w:val="none"/>
        </w:rPr>
        <w:t>建设更高水平平安供销，要从思想深处树立统筹发展与安全的系统思维。供销系统网点遍布城乡、业务多元、链条较长，安全风险具有点多面广、隐蔽性强、关联度高的特点。要将安全发展理念融入供销合作社综合改革的全过程，教育引导全系统干部职工深刻认识当前复杂环境下安全形势的严峻性、复杂性，切实增强维护系统安全稳定的政治自觉和行动自觉，为统筹</w:t>
      </w:r>
      <w:r>
        <w:rPr>
          <w:rFonts w:hint="eastAsia" w:ascii="仿宋" w:hAnsi="仿宋" w:eastAsia="仿宋" w:cs="仿宋"/>
          <w:sz w:val="32"/>
          <w:szCs w:val="32"/>
          <w:highlight w:val="none"/>
          <w:u w:val="none"/>
          <w:lang w:val="en-US" w:eastAsia="zh-CN"/>
        </w:rPr>
        <w:t>发展</w:t>
      </w:r>
      <w:r>
        <w:rPr>
          <w:rFonts w:hint="default" w:ascii="仿宋" w:hAnsi="仿宋" w:eastAsia="仿宋" w:cs="仿宋"/>
          <w:sz w:val="32"/>
          <w:szCs w:val="32"/>
          <w:highlight w:val="none"/>
          <w:u w:val="none"/>
        </w:rPr>
        <w:t>奠定坚实的思想基础。</w:t>
      </w:r>
    </w:p>
    <w:p w14:paraId="310D229B">
      <w:pPr>
        <w:keepNext w:val="0"/>
        <w:keepLines w:val="0"/>
        <w:pageBreakBefore w:val="0"/>
        <w:wordWrap/>
        <w:overflowPunct/>
        <w:topLinePunct w:val="0"/>
        <w:bidi w:val="0"/>
        <w:adjustRightInd/>
        <w:snapToGrid/>
        <w:spacing w:line="240" w:lineRule="auto"/>
        <w:ind w:firstLine="643" w:firstLineChars="200"/>
        <w:jc w:val="both"/>
        <w:rPr>
          <w:rFonts w:hint="eastAsia" w:ascii="仿宋" w:hAnsi="仿宋" w:eastAsia="仿宋" w:cs="仿宋"/>
          <w:i w:val="0"/>
          <w:iCs w:val="0"/>
          <w:caps w:val="0"/>
          <w:color w:val="0F1115"/>
          <w:spacing w:val="0"/>
          <w:sz w:val="32"/>
          <w:szCs w:val="32"/>
          <w:highlight w:val="none"/>
          <w:u w:val="none"/>
          <w:lang w:val="en-US" w:eastAsia="zh-CN"/>
        </w:rPr>
      </w:pPr>
      <w:r>
        <w:rPr>
          <w:rFonts w:hint="eastAsia" w:ascii="仿宋" w:hAnsi="仿宋" w:eastAsia="仿宋" w:cs="仿宋"/>
          <w:b/>
          <w:bCs/>
          <w:sz w:val="32"/>
          <w:szCs w:val="32"/>
          <w:highlight w:val="none"/>
          <w:u w:val="none"/>
          <w:lang w:val="en-US" w:eastAsia="zh-CN"/>
        </w:rPr>
        <w:t>2.</w:t>
      </w:r>
      <w:r>
        <w:rPr>
          <w:rFonts w:hint="eastAsia" w:ascii="仿宋" w:hAnsi="仿宋" w:eastAsia="仿宋" w:cs="仿宋"/>
          <w:b/>
          <w:bCs/>
          <w:sz w:val="32"/>
          <w:szCs w:val="32"/>
          <w:highlight w:val="none"/>
          <w:u w:val="none"/>
        </w:rPr>
        <w:t>聚焦关键领域，构建全链条风险防控体系</w:t>
      </w:r>
      <w:r>
        <w:rPr>
          <w:rFonts w:hint="eastAsia" w:ascii="仿宋" w:hAnsi="仿宋" w:eastAsia="仿宋" w:cs="仿宋"/>
          <w:b/>
          <w:bCs/>
          <w:sz w:val="32"/>
          <w:szCs w:val="32"/>
          <w:highlight w:val="none"/>
          <w:u w:val="none"/>
          <w:lang w:eastAsia="zh-CN"/>
        </w:rPr>
        <w:t>。</w:t>
      </w:r>
      <w:r>
        <w:rPr>
          <w:rFonts w:hint="eastAsia" w:ascii="仿宋" w:hAnsi="仿宋" w:eastAsia="仿宋" w:cs="仿宋"/>
          <w:b/>
          <w:bCs/>
          <w:sz w:val="32"/>
          <w:szCs w:val="32"/>
          <w:highlight w:val="none"/>
          <w:u w:val="none"/>
          <w:lang w:val="en-US" w:eastAsia="zh-CN"/>
        </w:rPr>
        <w:t>一是筑牢意识形态高地。</w:t>
      </w:r>
      <w:r>
        <w:rPr>
          <w:rFonts w:hint="eastAsia" w:ascii="仿宋" w:hAnsi="仿宋" w:eastAsia="仿宋" w:cs="仿宋"/>
          <w:sz w:val="32"/>
          <w:szCs w:val="32"/>
          <w:highlight w:val="none"/>
          <w:u w:val="none"/>
        </w:rPr>
        <w:t>严格落实意识形态工作责任制，加强对各类阵地的管理，密切关注社会思潮动向，对苗头性、倾向性问题抓早抓小，旗帜鲜明地反对和抵制各种错误观点，牢牢掌握意识形态工作的领导权和主动权。要健全矛盾纠纷多元化解机制，走好网上群众路线</w:t>
      </w:r>
      <w:r>
        <w:rPr>
          <w:rFonts w:hint="eastAsia" w:ascii="仿宋" w:hAnsi="仿宋" w:eastAsia="仿宋" w:cs="仿宋"/>
          <w:sz w:val="32"/>
          <w:szCs w:val="32"/>
          <w:highlight w:val="none"/>
          <w:u w:val="none"/>
          <w:lang w:eastAsia="zh-CN"/>
        </w:rPr>
        <w:t>，</w:t>
      </w:r>
      <w:r>
        <w:rPr>
          <w:rFonts w:hint="eastAsia" w:ascii="仿宋" w:hAnsi="仿宋" w:eastAsia="仿宋" w:cs="仿宋"/>
          <w:sz w:val="32"/>
          <w:szCs w:val="32"/>
          <w:highlight w:val="none"/>
          <w:u w:val="none"/>
        </w:rPr>
        <w:t>主动倾听群众呼声，及时回应社会关切，力争把矛盾化解在基层、解决在萌芽状态。</w:t>
      </w:r>
      <w:r>
        <w:rPr>
          <w:rFonts w:hint="eastAsia" w:ascii="仿宋" w:hAnsi="仿宋" w:eastAsia="仿宋" w:cs="仿宋"/>
          <w:b/>
          <w:bCs/>
          <w:sz w:val="32"/>
          <w:szCs w:val="32"/>
          <w:highlight w:val="none"/>
          <w:u w:val="none"/>
          <w:lang w:val="en-US" w:eastAsia="zh-CN"/>
        </w:rPr>
        <w:t>二是严守廉洁自律底线。</w:t>
      </w:r>
      <w:r>
        <w:rPr>
          <w:rFonts w:hint="eastAsia" w:ascii="仿宋" w:hAnsi="仿宋" w:eastAsia="仿宋" w:cs="仿宋"/>
          <w:sz w:val="32"/>
          <w:szCs w:val="32"/>
          <w:highlight w:val="none"/>
          <w:u w:val="none"/>
        </w:rPr>
        <w:t>加强</w:t>
      </w:r>
      <w:r>
        <w:rPr>
          <w:rFonts w:hint="eastAsia" w:ascii="仿宋" w:hAnsi="仿宋" w:eastAsia="仿宋" w:cs="仿宋"/>
          <w:sz w:val="32"/>
          <w:szCs w:val="32"/>
          <w:highlight w:val="none"/>
          <w:u w:val="none"/>
          <w:lang w:val="en-US" w:eastAsia="zh-CN"/>
        </w:rPr>
        <w:t>全系统干部职工</w:t>
      </w:r>
      <w:r>
        <w:rPr>
          <w:rFonts w:hint="eastAsia" w:ascii="仿宋" w:hAnsi="仿宋" w:eastAsia="仿宋" w:cs="仿宋"/>
          <w:sz w:val="32"/>
          <w:szCs w:val="32"/>
          <w:highlight w:val="none"/>
          <w:u w:val="none"/>
        </w:rPr>
        <w:t>廉政建设，压实全面从严治党</w:t>
      </w:r>
      <w:r>
        <w:rPr>
          <w:rFonts w:hint="eastAsia" w:ascii="仿宋" w:hAnsi="仿宋" w:eastAsia="仿宋" w:cs="仿宋"/>
          <w:sz w:val="32"/>
          <w:szCs w:val="32"/>
          <w:highlight w:val="none"/>
          <w:u w:val="none"/>
          <w:lang w:eastAsia="zh-CN"/>
        </w:rPr>
        <w:t>、</w:t>
      </w:r>
      <w:r>
        <w:rPr>
          <w:rFonts w:hint="eastAsia" w:ascii="仿宋" w:hAnsi="仿宋" w:eastAsia="仿宋" w:cs="仿宋"/>
          <w:sz w:val="32"/>
          <w:szCs w:val="32"/>
          <w:highlight w:val="none"/>
          <w:u w:val="none"/>
          <w:lang w:val="en-US" w:eastAsia="zh-CN"/>
        </w:rPr>
        <w:t>从严治社</w:t>
      </w:r>
      <w:r>
        <w:rPr>
          <w:rFonts w:hint="eastAsia" w:ascii="仿宋" w:hAnsi="仿宋" w:eastAsia="仿宋" w:cs="仿宋"/>
          <w:sz w:val="32"/>
          <w:szCs w:val="32"/>
          <w:highlight w:val="none"/>
          <w:u w:val="none"/>
        </w:rPr>
        <w:t>主体责任。常态化开展警示教育，筑牢拒腐防变思想防线。健全廉政风险防控机制，加强对重点岗位、关键环节的监督制约。严肃执纪问责，对违规违纪行为零容忍，营造风清气正的政治生态</w:t>
      </w:r>
      <w:r>
        <w:rPr>
          <w:rFonts w:hint="eastAsia" w:ascii="仿宋" w:hAnsi="仿宋" w:eastAsia="仿宋" w:cs="仿宋"/>
          <w:sz w:val="32"/>
          <w:szCs w:val="32"/>
          <w:highlight w:val="none"/>
          <w:u w:val="none"/>
          <w:lang w:eastAsia="zh-CN"/>
        </w:rPr>
        <w:t>。</w:t>
      </w:r>
      <w:r>
        <w:rPr>
          <w:rFonts w:hint="eastAsia" w:ascii="仿宋" w:hAnsi="仿宋" w:eastAsia="仿宋" w:cs="仿宋"/>
          <w:b/>
          <w:bCs/>
          <w:sz w:val="32"/>
          <w:szCs w:val="32"/>
          <w:highlight w:val="none"/>
          <w:u w:val="none"/>
          <w:lang w:val="en-US" w:eastAsia="zh-CN"/>
        </w:rPr>
        <w:t>三是紧抓生产经营规范。</w:t>
      </w:r>
      <w:r>
        <w:rPr>
          <w:rFonts w:hint="eastAsia" w:ascii="仿宋" w:hAnsi="仿宋" w:eastAsia="仿宋" w:cs="仿宋"/>
          <w:sz w:val="32"/>
          <w:szCs w:val="32"/>
          <w:highlight w:val="none"/>
          <w:u w:val="none"/>
        </w:rPr>
        <w:t>强化农资、日用消费品、农产品、再生资源等</w:t>
      </w:r>
      <w:r>
        <w:rPr>
          <w:rFonts w:hint="eastAsia" w:ascii="仿宋" w:hAnsi="仿宋" w:eastAsia="仿宋" w:cs="仿宋"/>
          <w:sz w:val="32"/>
          <w:szCs w:val="32"/>
          <w:highlight w:val="none"/>
          <w:u w:val="none"/>
          <w:lang w:val="en-US" w:eastAsia="zh-CN"/>
        </w:rPr>
        <w:t>领域</w:t>
      </w:r>
      <w:r>
        <w:rPr>
          <w:rFonts w:hint="eastAsia" w:ascii="仿宋" w:hAnsi="仿宋" w:eastAsia="仿宋" w:cs="仿宋"/>
          <w:sz w:val="32"/>
          <w:szCs w:val="32"/>
          <w:highlight w:val="none"/>
          <w:u w:val="none"/>
        </w:rPr>
        <w:t>安全监管。农资领域建立来源可查、去向可追的责任体系，杜绝假冒伪劣产品流入市场；农产品领域推进标准化生产与质量追溯，保障从田间到餐桌的安全；再生资源领域规范站点管理，防范环境污染与安全事故。</w:t>
      </w:r>
      <w:r>
        <w:rPr>
          <w:rFonts w:hint="eastAsia" w:ascii="仿宋" w:hAnsi="仿宋" w:eastAsia="仿宋" w:cs="仿宋"/>
          <w:b/>
          <w:bCs/>
          <w:sz w:val="32"/>
          <w:szCs w:val="32"/>
          <w:highlight w:val="none"/>
          <w:u w:val="none"/>
          <w:lang w:val="en-US" w:eastAsia="zh-CN"/>
        </w:rPr>
        <w:t>四是守牢资产安全红线。</w:t>
      </w:r>
      <w:r>
        <w:rPr>
          <w:rFonts w:hint="eastAsia" w:ascii="仿宋" w:hAnsi="仿宋" w:eastAsia="仿宋" w:cs="仿宋"/>
          <w:sz w:val="32"/>
          <w:szCs w:val="32"/>
          <w:highlight w:val="none"/>
          <w:u w:val="none"/>
        </w:rPr>
        <w:t>社有资产是供销合作事业发展的物质基础。要健全现代企业制度，规范社有企业投资决策和经营行为，加强内部审计和风险预警，防止</w:t>
      </w:r>
      <w:r>
        <w:rPr>
          <w:rFonts w:hint="eastAsia" w:ascii="仿宋" w:hAnsi="仿宋" w:eastAsia="仿宋" w:cs="仿宋"/>
          <w:sz w:val="32"/>
          <w:szCs w:val="32"/>
          <w:highlight w:val="none"/>
          <w:u w:val="none"/>
          <w:lang w:val="en-US" w:eastAsia="zh-CN"/>
        </w:rPr>
        <w:t>社有</w:t>
      </w:r>
      <w:r>
        <w:rPr>
          <w:rFonts w:hint="eastAsia" w:ascii="仿宋" w:hAnsi="仿宋" w:eastAsia="仿宋" w:cs="仿宋"/>
          <w:sz w:val="32"/>
          <w:szCs w:val="32"/>
          <w:highlight w:val="none"/>
          <w:u w:val="none"/>
        </w:rPr>
        <w:t>资产流失。同时，密切关注宏观经济形势和政策变化，防范金融市场波动带来的财务风险，确保系统经济平稳运行。</w:t>
      </w:r>
      <w:r>
        <w:rPr>
          <w:rFonts w:hint="eastAsia" w:ascii="仿宋" w:hAnsi="仿宋" w:eastAsia="仿宋" w:cs="仿宋"/>
          <w:b/>
          <w:bCs/>
          <w:sz w:val="32"/>
          <w:szCs w:val="32"/>
          <w:highlight w:val="none"/>
          <w:u w:val="none"/>
          <w:lang w:val="en-US" w:eastAsia="zh-CN"/>
        </w:rPr>
        <w:t>五是织密网络安全屏障。</w:t>
      </w:r>
      <w:r>
        <w:rPr>
          <w:rFonts w:hint="eastAsia" w:ascii="仿宋" w:hAnsi="仿宋" w:eastAsia="仿宋" w:cs="仿宋"/>
          <w:sz w:val="32"/>
          <w:szCs w:val="32"/>
          <w:highlight w:val="none"/>
          <w:u w:val="none"/>
        </w:rPr>
        <w:t>随着“数字供销”建设的</w:t>
      </w:r>
      <w:r>
        <w:rPr>
          <w:rFonts w:hint="eastAsia" w:ascii="仿宋" w:hAnsi="仿宋" w:eastAsia="仿宋" w:cs="仿宋"/>
          <w:sz w:val="32"/>
          <w:szCs w:val="32"/>
          <w:highlight w:val="none"/>
          <w:u w:val="none"/>
          <w:lang w:val="en-US" w:eastAsia="zh-CN"/>
        </w:rPr>
        <w:t>发展</w:t>
      </w:r>
      <w:r>
        <w:rPr>
          <w:rFonts w:hint="eastAsia" w:ascii="仿宋" w:hAnsi="仿宋" w:eastAsia="仿宋" w:cs="仿宋"/>
          <w:sz w:val="32"/>
          <w:szCs w:val="32"/>
          <w:highlight w:val="none"/>
          <w:u w:val="none"/>
        </w:rPr>
        <w:t>，网络安全已成为新的重大课题。要加快构建覆盖电商平台、数据中心等关键信息基础设施的安全防护体系，定期开展网络安全检测和漏洞修复。加强数据安全管理，特别是对社员信息、交易数据等敏感信息的保护，防止数据泄露和滥用</w:t>
      </w:r>
      <w:r>
        <w:rPr>
          <w:rFonts w:hint="eastAsia" w:ascii="仿宋" w:hAnsi="仿宋" w:eastAsia="仿宋" w:cs="仿宋"/>
          <w:sz w:val="32"/>
          <w:szCs w:val="32"/>
          <w:highlight w:val="none"/>
          <w:u w:val="none"/>
          <w:lang w:eastAsia="zh-CN"/>
        </w:rPr>
        <w:t>。</w:t>
      </w:r>
    </w:p>
    <w:p w14:paraId="55C3FFD4">
      <w:pPr>
        <w:keepNext w:val="0"/>
        <w:keepLines w:val="0"/>
        <w:pageBreakBefore w:val="0"/>
        <w:kinsoku/>
        <w:wordWrap/>
        <w:overflowPunct/>
        <w:topLinePunct w:val="0"/>
        <w:bidi w:val="0"/>
        <w:adjustRightInd/>
        <w:snapToGrid/>
        <w:spacing w:line="240" w:lineRule="auto"/>
        <w:ind w:firstLine="643" w:firstLineChars="200"/>
        <w:jc w:val="both"/>
        <w:rPr>
          <w:rFonts w:hint="default" w:ascii="仿宋" w:hAnsi="仿宋" w:eastAsia="仿宋" w:cs="仿宋"/>
          <w:sz w:val="32"/>
          <w:szCs w:val="32"/>
          <w:highlight w:val="none"/>
          <w:u w:val="none"/>
        </w:rPr>
      </w:pPr>
      <w:r>
        <w:rPr>
          <w:rFonts w:hint="eastAsia" w:ascii="仿宋" w:hAnsi="仿宋" w:eastAsia="仿宋" w:cs="仿宋"/>
          <w:b/>
          <w:bCs/>
          <w:sz w:val="32"/>
          <w:szCs w:val="32"/>
          <w:highlight w:val="none"/>
          <w:u w:val="none"/>
          <w:lang w:val="en-US" w:eastAsia="zh-CN"/>
        </w:rPr>
        <w:t>3.</w:t>
      </w:r>
      <w:r>
        <w:rPr>
          <w:rFonts w:hint="default" w:ascii="仿宋" w:hAnsi="仿宋" w:eastAsia="仿宋" w:cs="仿宋"/>
          <w:b/>
          <w:bCs/>
          <w:sz w:val="32"/>
          <w:szCs w:val="32"/>
          <w:highlight w:val="none"/>
          <w:u w:val="none"/>
          <w:lang w:val="en-US" w:eastAsia="zh-CN"/>
        </w:rPr>
        <w:t>健全长效机制，凝聚齐抓共管合力</w:t>
      </w:r>
      <w:r>
        <w:rPr>
          <w:rFonts w:hint="eastAsia" w:ascii="仿宋" w:hAnsi="仿宋" w:eastAsia="仿宋" w:cs="仿宋"/>
          <w:b/>
          <w:bCs/>
          <w:sz w:val="32"/>
          <w:szCs w:val="32"/>
          <w:highlight w:val="none"/>
          <w:u w:val="none"/>
          <w:lang w:val="en-US" w:eastAsia="zh-CN"/>
        </w:rPr>
        <w:t>。一是</w:t>
      </w:r>
      <w:r>
        <w:rPr>
          <w:rFonts w:hint="eastAsia" w:ascii="仿宋" w:hAnsi="仿宋" w:eastAsia="仿宋" w:cs="仿宋"/>
          <w:b/>
          <w:bCs/>
          <w:sz w:val="32"/>
          <w:szCs w:val="32"/>
          <w:highlight w:val="none"/>
          <w:u w:val="none"/>
        </w:rPr>
        <w:t>强化责任机制。</w:t>
      </w:r>
      <w:r>
        <w:rPr>
          <w:rFonts w:hint="default" w:ascii="仿宋" w:hAnsi="仿宋" w:eastAsia="仿宋" w:cs="仿宋"/>
          <w:sz w:val="32"/>
          <w:szCs w:val="32"/>
          <w:highlight w:val="none"/>
          <w:u w:val="none"/>
        </w:rPr>
        <w:t>健全“党政同责、一岗双责、齐抓共管、失职追责”的安全生产责任体系，细化基层</w:t>
      </w:r>
      <w:r>
        <w:rPr>
          <w:rFonts w:hint="eastAsia" w:ascii="仿宋" w:hAnsi="仿宋" w:eastAsia="仿宋" w:cs="仿宋"/>
          <w:sz w:val="32"/>
          <w:szCs w:val="32"/>
          <w:highlight w:val="none"/>
          <w:u w:val="none"/>
          <w:lang w:val="en-US" w:eastAsia="zh-CN"/>
        </w:rPr>
        <w:t>社</w:t>
      </w:r>
      <w:r>
        <w:rPr>
          <w:rFonts w:hint="default" w:ascii="仿宋" w:hAnsi="仿宋" w:eastAsia="仿宋" w:cs="仿宋"/>
          <w:sz w:val="32"/>
          <w:szCs w:val="32"/>
          <w:highlight w:val="none"/>
          <w:u w:val="none"/>
        </w:rPr>
        <w:t>责任清单，将安全责任压实到每个岗位、每个环节。</w:t>
      </w:r>
      <w:r>
        <w:rPr>
          <w:rFonts w:hint="eastAsia" w:ascii="仿宋" w:hAnsi="仿宋" w:eastAsia="仿宋" w:cs="仿宋"/>
          <w:b/>
          <w:bCs/>
          <w:sz w:val="32"/>
          <w:szCs w:val="32"/>
          <w:highlight w:val="none"/>
          <w:u w:val="none"/>
          <w:lang w:val="en-US" w:eastAsia="zh-CN"/>
        </w:rPr>
        <w:t>二是</w:t>
      </w:r>
      <w:r>
        <w:rPr>
          <w:rFonts w:hint="default" w:ascii="仿宋" w:hAnsi="仿宋" w:eastAsia="仿宋" w:cs="仿宋"/>
          <w:b/>
          <w:bCs/>
          <w:sz w:val="32"/>
          <w:szCs w:val="32"/>
          <w:highlight w:val="none"/>
          <w:u w:val="none"/>
          <w:lang w:val="en-US" w:eastAsia="zh-CN"/>
        </w:rPr>
        <w:t>优化协同机制。</w:t>
      </w:r>
      <w:r>
        <w:rPr>
          <w:rFonts w:hint="default" w:ascii="仿宋" w:hAnsi="仿宋" w:eastAsia="仿宋" w:cs="仿宋"/>
          <w:sz w:val="32"/>
          <w:szCs w:val="32"/>
          <w:highlight w:val="none"/>
          <w:u w:val="none"/>
        </w:rPr>
        <w:t>主动加强与应急管理、农业农村、市场监管、公安等部门的沟通协作，在联合监管、信息共享、应急联动等方面形成合力。同时，引导保险、金融等社会力量参与供销系统风险治理，构建多元化风险分担格局。</w:t>
      </w:r>
      <w:r>
        <w:rPr>
          <w:rFonts w:hint="eastAsia" w:ascii="仿宋" w:hAnsi="仿宋" w:eastAsia="仿宋" w:cs="仿宋"/>
          <w:b/>
          <w:bCs/>
          <w:sz w:val="32"/>
          <w:szCs w:val="32"/>
          <w:highlight w:val="none"/>
          <w:u w:val="none"/>
          <w:lang w:val="en-US" w:eastAsia="zh-CN"/>
        </w:rPr>
        <w:t>三是</w:t>
      </w:r>
      <w:r>
        <w:rPr>
          <w:rFonts w:hint="default" w:ascii="仿宋" w:hAnsi="仿宋" w:eastAsia="仿宋" w:cs="仿宋"/>
          <w:b/>
          <w:bCs/>
          <w:sz w:val="32"/>
          <w:szCs w:val="32"/>
          <w:highlight w:val="none"/>
          <w:u w:val="none"/>
          <w:lang w:val="en-US" w:eastAsia="zh-CN"/>
        </w:rPr>
        <w:t>健全考评机制。</w:t>
      </w:r>
      <w:r>
        <w:rPr>
          <w:rFonts w:hint="default" w:ascii="仿宋" w:hAnsi="仿宋" w:eastAsia="仿宋" w:cs="仿宋"/>
          <w:sz w:val="32"/>
          <w:szCs w:val="32"/>
          <w:highlight w:val="none"/>
          <w:u w:val="none"/>
        </w:rPr>
        <w:t>将平安建设成效作为绩效考核、干部评价奖惩的重要内容，加大考核权重，严肃问责追究，形成强有力的工作导向。</w:t>
      </w:r>
    </w:p>
    <w:p w14:paraId="523E3FEE">
      <w:pPr>
        <w:pStyle w:val="3"/>
        <w:bidi w:val="0"/>
        <w:rPr>
          <w:rFonts w:hint="default"/>
          <w:lang w:val="en-US" w:eastAsia="zh-CN"/>
        </w:rPr>
      </w:pPr>
      <w:bookmarkStart w:id="68" w:name="_Toc32379"/>
      <w:r>
        <w:rPr>
          <w:rFonts w:hint="eastAsia"/>
          <w:lang w:val="en-US" w:eastAsia="zh-CN"/>
        </w:rPr>
        <w:t>十六、建强“两支队伍”，用决定性因素保证供销合作事业高质量发展取得决定性进展</w:t>
      </w:r>
      <w:bookmarkEnd w:id="68"/>
    </w:p>
    <w:p w14:paraId="68D37B63">
      <w:pPr>
        <w:pStyle w:val="4"/>
        <w:bidi w:val="0"/>
        <w:ind w:firstLine="880"/>
        <w:rPr>
          <w:rFonts w:hint="eastAsia" w:ascii="Arial" w:hAnsi="Arial"/>
          <w:b w:val="0"/>
        </w:rPr>
      </w:pPr>
      <w:bookmarkStart w:id="69" w:name="_Toc24143"/>
      <w:r>
        <w:rPr>
          <w:rFonts w:hint="eastAsia" w:ascii="Arial" w:hAnsi="Arial"/>
          <w:b w:val="0"/>
          <w:lang w:eastAsia="zh-CN"/>
        </w:rPr>
        <w:t>（</w:t>
      </w:r>
      <w:r>
        <w:rPr>
          <w:rFonts w:hint="eastAsia" w:ascii="Arial" w:hAnsi="Arial"/>
          <w:b w:val="0"/>
          <w:lang w:val="en-US" w:eastAsia="zh-CN"/>
        </w:rPr>
        <w:t>一</w:t>
      </w:r>
      <w:r>
        <w:rPr>
          <w:rFonts w:hint="eastAsia" w:ascii="Arial" w:hAnsi="Arial"/>
          <w:b w:val="0"/>
          <w:lang w:eastAsia="zh-CN"/>
        </w:rPr>
        <w:t>）</w:t>
      </w:r>
      <w:r>
        <w:rPr>
          <w:rFonts w:hint="eastAsia" w:ascii="Arial" w:hAnsi="Arial"/>
          <w:b w:val="0"/>
        </w:rPr>
        <w:t>任务目标</w:t>
      </w:r>
      <w:bookmarkEnd w:id="69"/>
    </w:p>
    <w:p w14:paraId="14E83F16">
      <w:pPr>
        <w:keepNext w:val="0"/>
        <w:keepLines w:val="0"/>
        <w:pageBreakBefore w:val="0"/>
        <w:widowControl/>
        <w:kinsoku/>
        <w:wordWrap/>
        <w:overflowPunct/>
        <w:topLinePunct w:val="0"/>
        <w:autoSpaceDE w:val="0"/>
        <w:autoSpaceDN w:val="0"/>
        <w:bidi w:val="0"/>
        <w:adjustRightInd/>
        <w:snapToGrid/>
        <w:spacing w:line="240" w:lineRule="auto"/>
        <w:ind w:firstLine="640" w:firstLineChars="200"/>
        <w:jc w:val="both"/>
        <w:textAlignment w:val="baseline"/>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坚持党管干部、党管人才原则，坚持正确用人导向和政治标准，完善干部考核评价机制，建强</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政治强、业务精、结构优、作风好</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的机关干部队伍与</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爱供销、懂经营、会管理、勇创新</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的企业家队伍。通过五年系统建设，构建具有供销社特色的人才选育管用体系，打造政治生态好、用人导向正、干部作风实、发展环境优的用人环境，为供销合作事业高质量发展提供坚实人才支撑。</w:t>
      </w:r>
    </w:p>
    <w:p w14:paraId="48303879">
      <w:pPr>
        <w:keepNext w:val="0"/>
        <w:keepLines w:val="0"/>
        <w:pageBreakBefore w:val="0"/>
        <w:widowControl/>
        <w:kinsoku/>
        <w:wordWrap/>
        <w:overflowPunct/>
        <w:topLinePunct w:val="0"/>
        <w:autoSpaceDE w:val="0"/>
        <w:autoSpaceDN w:val="0"/>
        <w:bidi w:val="0"/>
        <w:adjustRightInd/>
        <w:snapToGrid/>
        <w:spacing w:line="240" w:lineRule="auto"/>
        <w:ind w:firstLine="640" w:firstLineChars="200"/>
        <w:jc w:val="both"/>
        <w:textAlignment w:val="baseline"/>
        <w:rPr>
          <w:rFonts w:hint="eastAsia" w:ascii="仿宋_GB2312" w:hAnsi="仿宋_GB2312" w:eastAsia="仿宋_GB2312" w:cs="仿宋_GB2312"/>
          <w:color w:val="000000"/>
          <w:sz w:val="32"/>
          <w:szCs w:val="32"/>
          <w:lang w:eastAsia="zh-CN"/>
        </w:rPr>
      </w:pPr>
      <w:bookmarkStart w:id="70" w:name="heading_5"/>
      <w:r>
        <w:rPr>
          <w:rFonts w:hint="eastAsia" w:ascii="仿宋_GB2312" w:hAnsi="仿宋_GB2312" w:eastAsia="仿宋_GB2312" w:cs="仿宋_GB2312"/>
          <w:color w:val="000000"/>
          <w:sz w:val="32"/>
          <w:szCs w:val="32"/>
        </w:rPr>
        <w:t>“十</w:t>
      </w:r>
      <w:r>
        <w:rPr>
          <w:rFonts w:hint="eastAsia" w:ascii="仿宋_GB2312" w:hAnsi="仿宋_GB2312" w:eastAsia="仿宋_GB2312" w:cs="仿宋_GB2312"/>
          <w:color w:val="000000"/>
          <w:sz w:val="32"/>
          <w:szCs w:val="32"/>
          <w:lang w:eastAsia="zh-CN"/>
        </w:rPr>
        <w:t>五</w:t>
      </w:r>
      <w:r>
        <w:rPr>
          <w:rFonts w:hint="eastAsia" w:ascii="仿宋_GB2312" w:hAnsi="仿宋_GB2312" w:eastAsia="仿宋_GB2312" w:cs="仿宋_GB2312"/>
          <w:color w:val="000000"/>
          <w:sz w:val="32"/>
          <w:szCs w:val="32"/>
        </w:rPr>
        <w:t>五”期间，</w:t>
      </w:r>
      <w:r>
        <w:rPr>
          <w:rFonts w:hint="eastAsia" w:ascii="仿宋_GB2312" w:hAnsi="仿宋_GB2312" w:eastAsia="仿宋_GB2312" w:cs="仿宋_GB2312"/>
          <w:color w:val="000000"/>
          <w:sz w:val="32"/>
          <w:szCs w:val="32"/>
          <w:lang w:eastAsia="zh-CN"/>
        </w:rPr>
        <w:t>通过公考招录机关干部</w:t>
      </w:r>
      <w:r>
        <w:rPr>
          <w:rFonts w:hint="eastAsia" w:ascii="仿宋_GB2312" w:hAnsi="仿宋_GB2312" w:eastAsia="仿宋_GB2312" w:cs="仿宋_GB2312"/>
          <w:color w:val="000000"/>
          <w:sz w:val="32"/>
          <w:szCs w:val="32"/>
          <w:lang w:val="en-US" w:eastAsia="zh-CN"/>
        </w:rPr>
        <w:t>5人，</w:t>
      </w:r>
      <w:r>
        <w:rPr>
          <w:rFonts w:hint="eastAsia" w:ascii="仿宋_GB2312" w:hAnsi="仿宋_GB2312" w:eastAsia="仿宋_GB2312" w:cs="仿宋_GB2312"/>
          <w:color w:val="000000"/>
          <w:sz w:val="32"/>
          <w:szCs w:val="32"/>
        </w:rPr>
        <w:t>每年培训供销系统干部</w:t>
      </w:r>
      <w:r>
        <w:rPr>
          <w:rFonts w:hint="eastAsia" w:ascii="仿宋_GB2312" w:hAnsi="仿宋_GB2312" w:eastAsia="仿宋_GB2312" w:cs="仿宋_GB2312"/>
          <w:color w:val="000000"/>
          <w:sz w:val="32"/>
          <w:szCs w:val="32"/>
          <w:lang w:eastAsia="zh-CN"/>
        </w:rPr>
        <w:t>职工</w:t>
      </w:r>
      <w:r>
        <w:rPr>
          <w:rFonts w:hint="eastAsia" w:ascii="仿宋_GB2312" w:hAnsi="仿宋_GB2312" w:eastAsia="仿宋_GB2312" w:cs="仿宋_GB2312"/>
          <w:color w:val="000000"/>
          <w:sz w:val="32"/>
          <w:szCs w:val="32"/>
          <w:lang w:val="en-US" w:eastAsia="zh-CN"/>
        </w:rPr>
        <w:t>400</w:t>
      </w:r>
      <w:r>
        <w:rPr>
          <w:rFonts w:hint="eastAsia" w:ascii="仿宋_GB2312" w:hAnsi="仿宋_GB2312" w:eastAsia="仿宋_GB2312" w:cs="仿宋_GB2312"/>
          <w:color w:val="000000"/>
          <w:sz w:val="32"/>
          <w:szCs w:val="32"/>
        </w:rPr>
        <w:t>人次，累计培训</w:t>
      </w:r>
      <w:r>
        <w:rPr>
          <w:rFonts w:hint="eastAsia" w:ascii="仿宋_GB2312" w:hAnsi="仿宋_GB2312" w:eastAsia="仿宋_GB2312" w:cs="仿宋_GB2312"/>
          <w:color w:val="000000"/>
          <w:sz w:val="32"/>
          <w:szCs w:val="32"/>
          <w:lang w:val="en-US" w:eastAsia="zh-CN"/>
        </w:rPr>
        <w:t>2000</w:t>
      </w:r>
      <w:r>
        <w:rPr>
          <w:rFonts w:hint="eastAsia" w:ascii="仿宋_GB2312" w:hAnsi="仿宋_GB2312" w:eastAsia="仿宋_GB2312" w:cs="仿宋_GB2312"/>
          <w:color w:val="000000"/>
          <w:sz w:val="32"/>
          <w:szCs w:val="32"/>
        </w:rPr>
        <w:t>人次，努力提高干部的专业化水平；持续提升从业人员中高等教育学历占比和高技能人才比例约年均2%</w:t>
      </w:r>
      <w:r>
        <w:rPr>
          <w:rFonts w:hint="eastAsia" w:ascii="仿宋_GB2312" w:hAnsi="仿宋_GB2312" w:eastAsia="仿宋_GB2312" w:cs="仿宋_GB2312"/>
          <w:color w:val="000000"/>
          <w:sz w:val="32"/>
          <w:szCs w:val="32"/>
          <w:lang w:eastAsia="zh-CN"/>
        </w:rPr>
        <w:t>；提档升级鄂州市经贸学校，将该校打造成全省供销系统乃至全国供销系统的示范高职高专甚至更高学府。</w:t>
      </w:r>
    </w:p>
    <w:p w14:paraId="2985C828">
      <w:pPr>
        <w:pStyle w:val="4"/>
        <w:bidi w:val="0"/>
        <w:rPr>
          <w:rFonts w:hint="eastAsia"/>
          <w:lang w:val="en-US" w:eastAsia="zh-CN"/>
        </w:rPr>
      </w:pPr>
      <w:bookmarkStart w:id="71" w:name="_Toc31672"/>
      <w:r>
        <w:rPr>
          <w:rFonts w:hint="eastAsia"/>
          <w:lang w:eastAsia="zh-CN"/>
        </w:rPr>
        <w:t>（</w:t>
      </w:r>
      <w:r>
        <w:rPr>
          <w:rFonts w:hint="eastAsia"/>
          <w:lang w:val="en-US" w:eastAsia="zh-CN"/>
        </w:rPr>
        <w:t>二</w:t>
      </w:r>
      <w:r>
        <w:rPr>
          <w:rFonts w:hint="eastAsia"/>
          <w:lang w:eastAsia="zh-CN"/>
        </w:rPr>
        <w:t>）</w:t>
      </w:r>
      <w:r>
        <w:rPr>
          <w:rFonts w:hint="eastAsia"/>
          <w:lang w:val="en-US" w:eastAsia="zh-CN"/>
        </w:rPr>
        <w:t>分年度计划</w:t>
      </w:r>
      <w:bookmarkEnd w:id="71"/>
    </w:p>
    <w:p w14:paraId="797F7051">
      <w:pPr>
        <w:pStyle w:val="2"/>
        <w:keepNext w:val="0"/>
        <w:keepLines w:val="0"/>
        <w:pageBreakBefore w:val="0"/>
        <w:wordWrap/>
        <w:overflowPunct/>
        <w:topLinePunct w:val="0"/>
        <w:bidi w:val="0"/>
        <w:adjustRightInd/>
        <w:snapToGrid/>
        <w:spacing w:line="240" w:lineRule="auto"/>
        <w:ind w:firstLine="640" w:firstLineChars="200"/>
        <w:jc w:val="both"/>
        <w:rPr>
          <w:rFonts w:hint="eastAsia" w:ascii="仿宋_GB2312" w:hAnsi="仿宋_GB2312" w:eastAsia="仿宋_GB2312" w:cs="仿宋_GB2312"/>
          <w:b w:val="0"/>
          <w:bCs/>
          <w:sz w:val="32"/>
          <w:szCs w:val="32"/>
          <w:lang w:eastAsia="zh-CN"/>
        </w:rPr>
      </w:pPr>
      <w:r>
        <w:rPr>
          <w:rFonts w:hint="eastAsia" w:ascii="仿宋_GB2312" w:hAnsi="仿宋_GB2312" w:eastAsia="仿宋_GB2312" w:cs="仿宋_GB2312"/>
          <w:b w:val="0"/>
          <w:bCs/>
          <w:sz w:val="32"/>
          <w:szCs w:val="32"/>
        </w:rPr>
        <w:t>2026年：制定“两支队伍”建设五年规划。招录机关干部1-2人，启动系统性培训计划。完成企业家队伍摸底，制定培养引进方案。</w:t>
      </w:r>
      <w:r>
        <w:rPr>
          <w:rFonts w:hint="eastAsia" w:ascii="仿宋_GB2312" w:hAnsi="仿宋_GB2312" w:eastAsia="仿宋_GB2312" w:cs="仿宋_GB2312"/>
          <w:b w:val="0"/>
          <w:bCs/>
          <w:sz w:val="32"/>
          <w:szCs w:val="32"/>
          <w:lang w:eastAsia="zh-CN"/>
        </w:rPr>
        <w:t>启动鄂州市经贸学校提档升级工作。</w:t>
      </w:r>
    </w:p>
    <w:p w14:paraId="02E9EDB2">
      <w:pPr>
        <w:pStyle w:val="2"/>
        <w:keepNext w:val="0"/>
        <w:keepLines w:val="0"/>
        <w:pageBreakBefore w:val="0"/>
        <w:wordWrap/>
        <w:overflowPunct/>
        <w:topLinePunct w:val="0"/>
        <w:bidi w:val="0"/>
        <w:adjustRightInd/>
        <w:snapToGrid/>
        <w:spacing w:line="240" w:lineRule="auto"/>
        <w:ind w:firstLine="640" w:firstLineChars="200"/>
        <w:jc w:val="both"/>
        <w:rPr>
          <w:rFonts w:hint="eastAsia" w:ascii="仿宋_GB2312" w:hAnsi="仿宋_GB2312" w:eastAsia="仿宋_GB2312" w:cs="仿宋_GB2312"/>
          <w:b w:val="0"/>
          <w:bCs/>
          <w:sz w:val="32"/>
          <w:szCs w:val="32"/>
          <w:lang w:eastAsia="zh-CN"/>
        </w:rPr>
      </w:pPr>
      <w:r>
        <w:rPr>
          <w:rFonts w:hint="eastAsia" w:ascii="仿宋_GB2312" w:hAnsi="仿宋_GB2312" w:eastAsia="仿宋_GB2312" w:cs="仿宋_GB2312"/>
          <w:b w:val="0"/>
          <w:bCs/>
          <w:sz w:val="32"/>
          <w:szCs w:val="32"/>
        </w:rPr>
        <w:t>2027年：干部教育培训体系基本建立，培训效果显现。市场化选聘首批职业经理人。优化干部队伍结构，加强年轻干部基层实践。</w:t>
      </w:r>
      <w:r>
        <w:rPr>
          <w:rFonts w:hint="eastAsia" w:ascii="仿宋_GB2312" w:hAnsi="仿宋_GB2312" w:eastAsia="仿宋_GB2312" w:cs="仿宋_GB2312"/>
          <w:b w:val="0"/>
          <w:bCs/>
          <w:sz w:val="32"/>
          <w:szCs w:val="32"/>
          <w:lang w:eastAsia="zh-CN"/>
        </w:rPr>
        <w:t>持续推进鄂州市经贸学校提档升级工作。</w:t>
      </w:r>
    </w:p>
    <w:p w14:paraId="3C940DF4">
      <w:pPr>
        <w:pStyle w:val="2"/>
        <w:keepNext w:val="0"/>
        <w:keepLines w:val="0"/>
        <w:pageBreakBefore w:val="0"/>
        <w:wordWrap/>
        <w:overflowPunct/>
        <w:topLinePunct w:val="0"/>
        <w:bidi w:val="0"/>
        <w:adjustRightInd/>
        <w:snapToGrid/>
        <w:spacing w:line="240" w:lineRule="auto"/>
        <w:ind w:firstLine="640" w:firstLineChars="200"/>
        <w:jc w:val="both"/>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2028年：“两支队伍”能力素质整体提升。差异化薪酬与绩效考核机制有效运行。人才成长环境更加优化。</w:t>
      </w:r>
    </w:p>
    <w:p w14:paraId="09382C26">
      <w:pPr>
        <w:pStyle w:val="2"/>
        <w:keepNext w:val="0"/>
        <w:keepLines w:val="0"/>
        <w:pageBreakBefore w:val="0"/>
        <w:wordWrap/>
        <w:overflowPunct/>
        <w:topLinePunct w:val="0"/>
        <w:bidi w:val="0"/>
        <w:adjustRightInd/>
        <w:snapToGrid/>
        <w:spacing w:line="240" w:lineRule="auto"/>
        <w:ind w:firstLine="640" w:firstLineChars="200"/>
        <w:jc w:val="both"/>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2029年：形成结构合理、充满活力的人才梯队。高层次专业人才和优秀企业家数量显著增加。人才支撑发展的作用充分发挥。</w:t>
      </w:r>
    </w:p>
    <w:p w14:paraId="244CD054">
      <w:pPr>
        <w:pStyle w:val="2"/>
        <w:keepNext w:val="0"/>
        <w:keepLines w:val="0"/>
        <w:pageBreakBefore w:val="0"/>
        <w:wordWrap/>
        <w:overflowPunct/>
        <w:topLinePunct w:val="0"/>
        <w:bidi w:val="0"/>
        <w:adjustRightInd/>
        <w:snapToGrid/>
        <w:spacing w:line="240" w:lineRule="auto"/>
        <w:ind w:firstLine="640" w:firstLineChars="200"/>
        <w:jc w:val="both"/>
        <w:rPr>
          <w:rFonts w:hint="default"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rPr>
        <w:t>2030年：全面完成队伍建设目标任务，人才成为推动供销合作事业高质量发展的核心驱动力。</w:t>
      </w:r>
      <w:r>
        <w:rPr>
          <w:rFonts w:hint="eastAsia" w:ascii="仿宋_GB2312" w:hAnsi="仿宋_GB2312" w:eastAsia="仿宋_GB2312" w:cs="仿宋_GB2312"/>
          <w:b w:val="0"/>
          <w:bCs/>
          <w:sz w:val="32"/>
          <w:szCs w:val="32"/>
          <w:lang w:eastAsia="zh-CN"/>
        </w:rPr>
        <w:t>全面完成鄂州市经贸学校提档升级工作。</w:t>
      </w:r>
    </w:p>
    <w:p w14:paraId="1F2485A2">
      <w:pPr>
        <w:pStyle w:val="4"/>
        <w:bidi w:val="0"/>
        <w:ind w:firstLine="880"/>
        <w:rPr>
          <w:rFonts w:hint="eastAsia" w:ascii="Arial" w:hAnsi="Arial"/>
          <w:b w:val="0"/>
        </w:rPr>
      </w:pPr>
      <w:bookmarkStart w:id="72" w:name="_Toc17275"/>
      <w:r>
        <w:rPr>
          <w:rFonts w:hint="eastAsia" w:ascii="Arial" w:hAnsi="Arial"/>
          <w:b w:val="0"/>
          <w:lang w:eastAsia="zh-CN"/>
        </w:rPr>
        <w:t>（</w:t>
      </w:r>
      <w:r>
        <w:rPr>
          <w:rFonts w:hint="eastAsia" w:ascii="Arial" w:hAnsi="Arial"/>
          <w:b w:val="0"/>
          <w:lang w:val="en-US" w:eastAsia="zh-CN"/>
        </w:rPr>
        <w:t>三</w:t>
      </w:r>
      <w:r>
        <w:rPr>
          <w:rFonts w:hint="eastAsia" w:ascii="Arial" w:hAnsi="Arial"/>
          <w:b w:val="0"/>
          <w:lang w:eastAsia="zh-CN"/>
        </w:rPr>
        <w:t>）</w:t>
      </w:r>
      <w:r>
        <w:rPr>
          <w:rFonts w:hint="eastAsia" w:ascii="Arial" w:hAnsi="Arial"/>
          <w:b w:val="0"/>
        </w:rPr>
        <w:t>具体措施</w:t>
      </w:r>
      <w:bookmarkEnd w:id="72"/>
    </w:p>
    <w:p w14:paraId="7721E614">
      <w:pPr>
        <w:keepNext w:val="0"/>
        <w:keepLines w:val="0"/>
        <w:pageBreakBefore w:val="0"/>
        <w:widowControl/>
        <w:suppressLineNumbers w:val="0"/>
        <w:kinsoku/>
        <w:wordWrap/>
        <w:overflowPunct/>
        <w:topLinePunct w:val="0"/>
        <w:autoSpaceDE w:val="0"/>
        <w:autoSpaceDN w:val="0"/>
        <w:bidi w:val="0"/>
        <w:adjustRightInd/>
        <w:snapToGrid/>
        <w:spacing w:line="240" w:lineRule="auto"/>
        <w:ind w:firstLine="643"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val="en-US" w:eastAsia="zh-CN"/>
        </w:rPr>
        <w:t>1.</w:t>
      </w:r>
      <w:r>
        <w:rPr>
          <w:rFonts w:hint="eastAsia" w:ascii="仿宋_GB2312" w:hAnsi="仿宋_GB2312" w:eastAsia="仿宋_GB2312" w:cs="仿宋_GB2312"/>
          <w:b/>
          <w:bCs/>
          <w:sz w:val="32"/>
          <w:szCs w:val="32"/>
        </w:rPr>
        <w:t>加强干部队伍建设。</w:t>
      </w:r>
      <w:r>
        <w:rPr>
          <w:rFonts w:hint="eastAsia" w:ascii="仿宋_GB2312" w:hAnsi="仿宋_GB2312" w:eastAsia="仿宋_GB2312" w:cs="仿宋_GB2312"/>
          <w:sz w:val="32"/>
          <w:szCs w:val="32"/>
          <w:lang w:val="en-US" w:eastAsia="zh-CN"/>
        </w:rPr>
        <w:t>一是注重加强理论武装。理论上清醒，政治上才能坚定。始终坚持学习贯彻习近平新时代中国特色社会主义思想，构建以学铸魂、以学增智、以学正风、以学促干长效机制。二是注重加强党性锻炼。通过传承红色基因、强化理想信念、增强政治机关意识等推动党员干部练好内功，让党员干部想干事、能干事、干成事、不出事，更好地立足岗位建功立业。三是注重加强基层实践。常态化组织年轻干部到基层一线任职挂职，让年轻干部把握社情民情、厚植群众感情、提高解决实际问题能力。</w:t>
      </w:r>
    </w:p>
    <w:p w14:paraId="0EE176C4">
      <w:pPr>
        <w:keepNext w:val="0"/>
        <w:keepLines w:val="0"/>
        <w:pageBreakBefore w:val="0"/>
        <w:widowControl/>
        <w:kinsoku/>
        <w:wordWrap/>
        <w:overflowPunct/>
        <w:topLinePunct w:val="0"/>
        <w:autoSpaceDE w:val="0"/>
        <w:autoSpaceDN w:val="0"/>
        <w:bidi w:val="0"/>
        <w:adjustRightInd/>
        <w:snapToGrid/>
        <w:spacing w:line="240" w:lineRule="auto"/>
        <w:ind w:firstLine="643" w:firstLineChars="200"/>
        <w:jc w:val="both"/>
        <w:textAlignment w:val="baseline"/>
        <w:rPr>
          <w:rFonts w:hint="eastAsia" w:ascii="仿宋_GB2312" w:hAnsi="仿宋_GB2312" w:eastAsia="仿宋_GB2312" w:cs="仿宋_GB2312"/>
          <w:color w:val="000000"/>
          <w:sz w:val="32"/>
          <w:szCs w:val="32"/>
        </w:rPr>
      </w:pPr>
      <w:r>
        <w:rPr>
          <w:rFonts w:hint="eastAsia" w:ascii="仿宋_GB2312" w:hAnsi="仿宋_GB2312" w:eastAsia="仿宋_GB2312" w:cs="仿宋_GB2312"/>
          <w:b/>
          <w:bCs/>
          <w:sz w:val="32"/>
          <w:szCs w:val="32"/>
          <w:lang w:val="en-US" w:eastAsia="zh-CN"/>
        </w:rPr>
        <w:t>2.</w:t>
      </w:r>
      <w:r>
        <w:rPr>
          <w:rFonts w:hint="eastAsia" w:ascii="仿宋_GB2312" w:hAnsi="仿宋_GB2312" w:eastAsia="仿宋_GB2312" w:cs="仿宋_GB2312"/>
          <w:b/>
          <w:bCs/>
          <w:sz w:val="32"/>
          <w:szCs w:val="32"/>
        </w:rPr>
        <w:t>加强企业家队伍建设。</w:t>
      </w:r>
      <w:r>
        <w:rPr>
          <w:rFonts w:hint="eastAsia" w:ascii="仿宋_GB2312" w:hAnsi="仿宋_GB2312" w:eastAsia="仿宋_GB2312" w:cs="仿宋_GB2312"/>
          <w:sz w:val="32"/>
          <w:szCs w:val="32"/>
        </w:rPr>
        <w:t>一是</w:t>
      </w:r>
      <w:r>
        <w:rPr>
          <w:rFonts w:hint="eastAsia" w:ascii="仿宋_GB2312" w:hAnsi="仿宋_GB2312" w:eastAsia="仿宋_GB2312" w:cs="仿宋_GB2312"/>
          <w:sz w:val="32"/>
          <w:szCs w:val="32"/>
          <w:lang w:eastAsia="zh-CN"/>
        </w:rPr>
        <w:t>加强企业家队伍选拔和培养。聚焦供销社主责主业，通过招聘和选拔，引进一批农资销售、农产品流通、农业社会化服务、再生资源回收利用方面的优秀人才。制定合理的培养计划，选派业务骨干到外地考察学习，开拓视野、提高业务能力。二是</w:t>
      </w:r>
      <w:r>
        <w:rPr>
          <w:rFonts w:hint="eastAsia" w:ascii="仿宋_GB2312" w:hAnsi="仿宋_GB2312" w:eastAsia="仿宋_GB2312" w:cs="仿宋_GB2312"/>
          <w:b w:val="0"/>
          <w:bCs w:val="0"/>
          <w:color w:val="000000"/>
          <w:sz w:val="32"/>
          <w:szCs w:val="32"/>
        </w:rPr>
        <w:t>强化激励约束机制。</w:t>
      </w:r>
      <w:r>
        <w:rPr>
          <w:rFonts w:hint="eastAsia" w:ascii="仿宋_GB2312" w:hAnsi="仿宋_GB2312" w:eastAsia="仿宋_GB2312" w:cs="仿宋_GB2312"/>
          <w:color w:val="000000"/>
          <w:sz w:val="32"/>
          <w:szCs w:val="32"/>
        </w:rPr>
        <w:t>实施差异化薪酬分配，推动薪酬待遇向核心骨干、一线业务岗位和高绩效人员倾斜。完善全员绩效考核制度和容错纠错机制，明确“能者上、优者奖、庸者下、劣者汰”的用人导向，充分激发人才干事创业活力。</w:t>
      </w:r>
      <w:bookmarkEnd w:id="70"/>
    </w:p>
    <w:p w14:paraId="57D80B02">
      <w:pPr>
        <w:pStyle w:val="2"/>
        <w:keepNext w:val="0"/>
        <w:keepLines w:val="0"/>
        <w:pageBreakBefore w:val="0"/>
        <w:wordWrap/>
        <w:overflowPunct/>
        <w:topLinePunct w:val="0"/>
        <w:bidi w:val="0"/>
        <w:adjustRightInd/>
        <w:snapToGrid/>
        <w:spacing w:line="240" w:lineRule="auto"/>
        <w:ind w:firstLine="643" w:firstLineChars="200"/>
        <w:jc w:val="both"/>
        <w:rPr>
          <w:rFonts w:hint="eastAsia" w:eastAsia="仿宋_GB2312"/>
          <w:b w:val="0"/>
          <w:bCs/>
          <w:lang w:val="en-US" w:eastAsia="zh-CN"/>
        </w:rPr>
      </w:pPr>
      <w:r>
        <w:rPr>
          <w:rFonts w:hint="eastAsia" w:ascii="仿宋_GB2312" w:hAnsi="仿宋_GB2312" w:eastAsia="仿宋_GB2312" w:cs="仿宋_GB2312"/>
          <w:color w:val="000000"/>
          <w:sz w:val="32"/>
          <w:szCs w:val="32"/>
          <w:lang w:val="en-US" w:eastAsia="zh-CN"/>
        </w:rPr>
        <w:t>3.</w:t>
      </w:r>
      <w:r>
        <w:rPr>
          <w:rFonts w:hint="eastAsia" w:ascii="仿宋_GB2312" w:hAnsi="仿宋_GB2312" w:eastAsia="仿宋_GB2312" w:cs="仿宋_GB2312"/>
          <w:color w:val="000000"/>
          <w:sz w:val="32"/>
          <w:szCs w:val="32"/>
          <w:lang w:eastAsia="zh-CN"/>
        </w:rPr>
        <w:t>加强培训阵地建设。</w:t>
      </w:r>
      <w:r>
        <w:rPr>
          <w:rFonts w:hint="eastAsia" w:ascii="仿宋_GB2312" w:hAnsi="仿宋_GB2312" w:eastAsia="仿宋_GB2312" w:cs="仿宋_GB2312"/>
          <w:b w:val="0"/>
          <w:bCs/>
          <w:color w:val="000000"/>
          <w:sz w:val="32"/>
          <w:szCs w:val="32"/>
          <w:lang w:eastAsia="zh-CN"/>
        </w:rPr>
        <w:t>以服务供销事业、助力乡村振兴为根本导向，坚持“立足供销、面向三农、突出特色、提质增效”的办学理念，对鄂州市经贸学校进行全方位提档升级，打造成为</w:t>
      </w:r>
      <w:r>
        <w:rPr>
          <w:rFonts w:hint="eastAsia" w:ascii="国标仿宋" w:hAnsi="国标仿宋" w:eastAsia="国标仿宋" w:cs="国标仿宋"/>
          <w:b w:val="0"/>
          <w:bCs/>
          <w:color w:val="000000"/>
          <w:sz w:val="32"/>
          <w:szCs w:val="32"/>
          <w:lang w:eastAsia="zh-CN"/>
        </w:rPr>
        <w:t>全省供销系统乃至全国供销系统的示范高职高专甚至更高学府，</w:t>
      </w:r>
      <w:r>
        <w:rPr>
          <w:rFonts w:hint="eastAsia" w:ascii="仿宋_GB2312" w:hAnsi="仿宋_GB2312" w:eastAsia="仿宋_GB2312" w:cs="仿宋_GB2312"/>
          <w:b w:val="0"/>
          <w:bCs/>
          <w:color w:val="000000"/>
          <w:sz w:val="32"/>
          <w:szCs w:val="32"/>
          <w:lang w:eastAsia="zh-CN"/>
        </w:rPr>
        <w:t>成为设施完备、功能齐全、师资精良、特色鲜明、成效显著的供销系统人才培训主阵地、职业教育标杆校。力争实现办学条件全面改善、教学实训设施适配行业发展需求，培训体系更加完善，覆盖干部管理、专业技能、厂家服务等全领域；培训质量显著提高，人才培养精准对接行业需求，为供销系统培育大批政治素质过硬、业务能力精湛、服务意识强烈的高素质人才，全面激活供销系统人才活力。</w:t>
      </w:r>
    </w:p>
    <w:p w14:paraId="4EE99FA0">
      <w:pPr>
        <w:pStyle w:val="3"/>
        <w:bidi w:val="0"/>
        <w:rPr>
          <w:rFonts w:hint="eastAsia"/>
          <w:lang w:eastAsia="zh-CN"/>
        </w:rPr>
      </w:pPr>
      <w:bookmarkStart w:id="73" w:name="_Toc18472"/>
      <w:r>
        <w:rPr>
          <w:rFonts w:hint="eastAsia"/>
          <w:lang w:val="en-US" w:eastAsia="zh-CN"/>
        </w:rPr>
        <w:t>十七、</w:t>
      </w:r>
      <w:r>
        <w:rPr>
          <w:rFonts w:hint="eastAsia"/>
          <w:lang w:eastAsia="zh-CN"/>
        </w:rPr>
        <w:t>保障措施</w:t>
      </w:r>
      <w:bookmarkEnd w:id="73"/>
    </w:p>
    <w:p w14:paraId="2FC6BE50">
      <w:pPr>
        <w:pStyle w:val="4"/>
        <w:bidi w:val="0"/>
        <w:ind w:firstLine="880"/>
        <w:rPr>
          <w:rFonts w:hint="eastAsia" w:ascii="Arial" w:hAnsi="Arial"/>
          <w:b w:val="0"/>
        </w:rPr>
      </w:pPr>
      <w:bookmarkStart w:id="74" w:name="_Toc12915"/>
      <w:r>
        <w:rPr>
          <w:rFonts w:hint="eastAsia" w:ascii="Arial" w:hAnsi="Arial"/>
          <w:b w:val="0"/>
        </w:rPr>
        <w:t>（一）强化思想认识引领，凝聚规划实施共识</w:t>
      </w:r>
      <w:bookmarkEnd w:id="74"/>
    </w:p>
    <w:p w14:paraId="45D3BD7D">
      <w:pPr>
        <w:keepNext w:val="0"/>
        <w:keepLines w:val="0"/>
        <w:pageBreakBefore w:val="0"/>
        <w:wordWrap/>
        <w:overflowPunct/>
        <w:topLinePunct w:val="0"/>
        <w:bidi w:val="0"/>
        <w:adjustRightInd/>
        <w:snapToGrid/>
        <w:spacing w:line="240" w:lineRule="auto"/>
        <w:ind w:firstLine="640" w:firstLineChars="200"/>
        <w:jc w:val="both"/>
        <w:rPr>
          <w:rFonts w:ascii="仿宋" w:hAnsi="仿宋" w:eastAsia="仿宋"/>
          <w:sz w:val="32"/>
          <w:szCs w:val="32"/>
          <w:highlight w:val="none"/>
          <w:u w:val="none"/>
        </w:rPr>
      </w:pPr>
      <w:r>
        <w:rPr>
          <w:rFonts w:hint="eastAsia" w:ascii="仿宋" w:hAnsi="仿宋" w:eastAsia="仿宋"/>
          <w:sz w:val="32"/>
          <w:szCs w:val="32"/>
          <w:highlight w:val="none"/>
          <w:u w:val="none"/>
        </w:rPr>
        <w:t>“十五五”规划是引领全市供销社系统全面深化改革、实现高质量发展的纲领性、制度性文件。全市供销系统领导干部要深入学习贯彻习近平新时代中国特色社会主义思想，全面落实党的二十大和二十届历次全会精神，深刻领悟“十五五”时期在现代化进程中承前启后的重要部位，认识到供销合作社在服务国家粮食安全、推进乡村全面振兴、促进城乡融合发展中的功能作用，持续强化为农服务宗旨和系统思维，始终以规划为指引统筹推进各项工作，持之以恒、锲而不舍地当好新时代党和政府连接农民群众的桥梁纽带。</w:t>
      </w:r>
    </w:p>
    <w:p w14:paraId="19EEB72A">
      <w:pPr>
        <w:pStyle w:val="4"/>
        <w:bidi w:val="0"/>
        <w:ind w:firstLine="880"/>
        <w:rPr>
          <w:rFonts w:hint="eastAsia" w:ascii="Arial" w:hAnsi="Arial"/>
          <w:b w:val="0"/>
        </w:rPr>
      </w:pPr>
      <w:bookmarkStart w:id="75" w:name="_Toc9745"/>
      <w:r>
        <w:rPr>
          <w:rFonts w:hint="eastAsia" w:ascii="Arial" w:hAnsi="Arial"/>
          <w:b w:val="0"/>
          <w:lang w:eastAsia="zh-CN"/>
        </w:rPr>
        <w:t>（</w:t>
      </w:r>
      <w:r>
        <w:rPr>
          <w:rFonts w:hint="eastAsia" w:ascii="Arial" w:hAnsi="Arial"/>
          <w:b w:val="0"/>
          <w:lang w:val="en-US" w:eastAsia="zh-CN"/>
        </w:rPr>
        <w:t>二</w:t>
      </w:r>
      <w:r>
        <w:rPr>
          <w:rFonts w:hint="eastAsia" w:ascii="Arial" w:hAnsi="Arial"/>
          <w:b w:val="0"/>
          <w:lang w:eastAsia="zh-CN"/>
        </w:rPr>
        <w:t>）</w:t>
      </w:r>
      <w:r>
        <w:rPr>
          <w:rFonts w:hint="eastAsia" w:ascii="Arial" w:hAnsi="Arial"/>
          <w:b w:val="0"/>
        </w:rPr>
        <w:t>健全组织领导体系，压实层级责任链条</w:t>
      </w:r>
      <w:bookmarkEnd w:id="75"/>
    </w:p>
    <w:p w14:paraId="244ED9BC">
      <w:pPr>
        <w:keepNext w:val="0"/>
        <w:keepLines w:val="0"/>
        <w:pageBreakBefore w:val="0"/>
        <w:numPr>
          <w:ilvl w:val="0"/>
          <w:numId w:val="0"/>
        </w:numPr>
        <w:wordWrap/>
        <w:overflowPunct/>
        <w:topLinePunct w:val="0"/>
        <w:bidi w:val="0"/>
        <w:adjustRightInd/>
        <w:snapToGrid/>
        <w:spacing w:line="240" w:lineRule="auto"/>
        <w:ind w:firstLine="640" w:firstLineChars="200"/>
        <w:jc w:val="both"/>
        <w:rPr>
          <w:rFonts w:ascii="仿宋" w:hAnsi="仿宋" w:eastAsia="仿宋"/>
          <w:sz w:val="32"/>
          <w:szCs w:val="32"/>
          <w:highlight w:val="none"/>
          <w:u w:val="none"/>
        </w:rPr>
      </w:pPr>
      <w:r>
        <w:rPr>
          <w:rFonts w:hint="eastAsia" w:ascii="仿宋" w:hAnsi="仿宋" w:eastAsia="仿宋"/>
          <w:sz w:val="32"/>
          <w:szCs w:val="32"/>
          <w:highlight w:val="none"/>
          <w:u w:val="none"/>
        </w:rPr>
        <w:t>要高度重视规划的编制和实施，按照“上下联动、分级负责”原则，建立健全规划实施工作机制，由供销合作社主要领导担任组长，统筹负责规划实施的总体部署、重大决策和跨层级协调推进，分管同志按职责具体抓，加强对全系统相关领域具体工作的指导调度和组织协调；继续强化与农业农村、发改、财政等部门的衔接配合，形成“系统发力、部门协同、上下贯通”的工作格局</w:t>
      </w:r>
      <w:r>
        <w:rPr>
          <w:rFonts w:hint="eastAsia" w:ascii="仿宋" w:hAnsi="仿宋" w:eastAsia="仿宋"/>
          <w:sz w:val="32"/>
          <w:szCs w:val="32"/>
          <w:highlight w:val="none"/>
          <w:u w:val="none"/>
          <w:lang w:eastAsia="zh-CN"/>
        </w:rPr>
        <w:t>。</w:t>
      </w:r>
      <w:r>
        <w:rPr>
          <w:rFonts w:hint="eastAsia" w:ascii="仿宋" w:hAnsi="仿宋" w:eastAsia="仿宋"/>
          <w:sz w:val="32"/>
          <w:szCs w:val="32"/>
          <w:highlight w:val="none"/>
          <w:u w:val="none"/>
        </w:rPr>
        <w:t>各区供销社、各级社有企业要围绕全市供销系统“十五五”规划，结合工作实际完善各自规划和重点目标，全力推动“十五五”规划各项任务目标落实落地。</w:t>
      </w:r>
    </w:p>
    <w:p w14:paraId="229A398D">
      <w:pPr>
        <w:pStyle w:val="4"/>
        <w:bidi w:val="0"/>
        <w:ind w:firstLine="880"/>
        <w:rPr>
          <w:rFonts w:hint="eastAsia" w:ascii="Arial" w:hAnsi="Arial"/>
          <w:b w:val="0"/>
        </w:rPr>
      </w:pPr>
      <w:bookmarkStart w:id="76" w:name="_Toc8553"/>
      <w:r>
        <w:rPr>
          <w:rFonts w:hint="eastAsia" w:ascii="Arial" w:hAnsi="Arial"/>
          <w:b w:val="0"/>
          <w:lang w:eastAsia="zh-CN"/>
        </w:rPr>
        <w:t>（</w:t>
      </w:r>
      <w:r>
        <w:rPr>
          <w:rFonts w:hint="eastAsia" w:ascii="Arial" w:hAnsi="Arial"/>
          <w:b w:val="0"/>
          <w:lang w:val="en-US" w:eastAsia="zh-CN"/>
        </w:rPr>
        <w:t>三</w:t>
      </w:r>
      <w:r>
        <w:rPr>
          <w:rFonts w:hint="eastAsia" w:ascii="Arial" w:hAnsi="Arial"/>
          <w:b w:val="0"/>
          <w:lang w:eastAsia="zh-CN"/>
        </w:rPr>
        <w:t>）</w:t>
      </w:r>
      <w:r>
        <w:rPr>
          <w:rFonts w:hint="eastAsia" w:ascii="Arial" w:hAnsi="Arial"/>
          <w:b w:val="0"/>
        </w:rPr>
        <w:t>构建制度闭环管理，提升实施管控效能</w:t>
      </w:r>
      <w:bookmarkEnd w:id="76"/>
    </w:p>
    <w:p w14:paraId="1BB01C0E">
      <w:pPr>
        <w:keepNext w:val="0"/>
        <w:keepLines w:val="0"/>
        <w:pageBreakBefore w:val="0"/>
        <w:numPr>
          <w:ilvl w:val="0"/>
          <w:numId w:val="0"/>
        </w:numPr>
        <w:wordWrap/>
        <w:overflowPunct/>
        <w:topLinePunct w:val="0"/>
        <w:bidi w:val="0"/>
        <w:adjustRightInd/>
        <w:snapToGrid/>
        <w:spacing w:line="240" w:lineRule="auto"/>
        <w:ind w:firstLine="640" w:firstLineChars="200"/>
        <w:jc w:val="both"/>
        <w:rPr>
          <w:rFonts w:ascii="仿宋" w:hAnsi="仿宋" w:eastAsia="仿宋"/>
          <w:sz w:val="32"/>
          <w:szCs w:val="32"/>
          <w:highlight w:val="none"/>
          <w:u w:val="none"/>
        </w:rPr>
      </w:pPr>
      <w:r>
        <w:rPr>
          <w:rFonts w:hint="eastAsia" w:ascii="仿宋" w:hAnsi="仿宋" w:eastAsia="仿宋"/>
          <w:sz w:val="32"/>
          <w:szCs w:val="32"/>
          <w:highlight w:val="none"/>
          <w:u w:val="none"/>
        </w:rPr>
        <w:t>推动规划落实落地是完成“十五五”时期供销社全面深化改革发展任务的重要要求，要健全以供销系统发展规划为纲领，农资流通、农业社会化服务、冷链物流、再生资源回收等重点规划项目为支撑的统一规划体系，将各项任务目标分解到年，分解到各区社和市社相关业务科室，构建动态监测、中期评估、总结评估相结合的全周期评估体系和验收工作制度。各区供销社围绕任务目标制定具体行动方</w:t>
      </w:r>
      <w:r>
        <w:rPr>
          <w:rFonts w:hint="eastAsia" w:ascii="仿宋" w:hAnsi="仿宋" w:eastAsia="仿宋"/>
          <w:sz w:val="32"/>
          <w:szCs w:val="32"/>
          <w:highlight w:val="none"/>
          <w:u w:val="none"/>
          <w:lang w:eastAsia="zh-CN"/>
        </w:rPr>
        <w:t>案</w:t>
      </w:r>
      <w:r>
        <w:rPr>
          <w:rFonts w:hint="eastAsia" w:ascii="仿宋" w:hAnsi="仿宋" w:eastAsia="仿宋"/>
          <w:sz w:val="32"/>
          <w:szCs w:val="32"/>
          <w:highlight w:val="none"/>
          <w:u w:val="none"/>
        </w:rPr>
        <w:t>，谋划工作路径，制定任务进程，确保各项任务目标扎实推进，落实到位。</w:t>
      </w:r>
    </w:p>
    <w:p w14:paraId="3E3E9E26">
      <w:pPr>
        <w:pStyle w:val="4"/>
        <w:bidi w:val="0"/>
        <w:ind w:firstLine="880"/>
        <w:rPr>
          <w:rFonts w:hint="eastAsia" w:ascii="Arial" w:hAnsi="Arial"/>
          <w:b w:val="0"/>
        </w:rPr>
      </w:pPr>
      <w:bookmarkStart w:id="77" w:name="_Toc9149"/>
      <w:r>
        <w:rPr>
          <w:rFonts w:hint="eastAsia" w:ascii="Arial" w:hAnsi="Arial"/>
          <w:b w:val="0"/>
          <w:lang w:eastAsia="zh-CN"/>
        </w:rPr>
        <w:t>（</w:t>
      </w:r>
      <w:r>
        <w:rPr>
          <w:rFonts w:hint="eastAsia" w:ascii="Arial" w:hAnsi="Arial"/>
          <w:b w:val="0"/>
          <w:lang w:val="en-US" w:eastAsia="zh-CN"/>
        </w:rPr>
        <w:t>四</w:t>
      </w:r>
      <w:r>
        <w:rPr>
          <w:rFonts w:hint="eastAsia" w:ascii="Arial" w:hAnsi="Arial"/>
          <w:b w:val="0"/>
          <w:lang w:eastAsia="zh-CN"/>
        </w:rPr>
        <w:t>）</w:t>
      </w:r>
      <w:r>
        <w:rPr>
          <w:rFonts w:hint="eastAsia" w:ascii="Arial" w:hAnsi="Arial"/>
          <w:b w:val="0"/>
        </w:rPr>
        <w:t>争取政策支持协同，筑牢发展保障支撑</w:t>
      </w:r>
      <w:bookmarkEnd w:id="77"/>
    </w:p>
    <w:p w14:paraId="5D64FA1E">
      <w:pPr>
        <w:keepNext w:val="0"/>
        <w:keepLines w:val="0"/>
        <w:pageBreakBefore w:val="0"/>
        <w:numPr>
          <w:ilvl w:val="0"/>
          <w:numId w:val="0"/>
        </w:numPr>
        <w:wordWrap/>
        <w:overflowPunct/>
        <w:topLinePunct w:val="0"/>
        <w:bidi w:val="0"/>
        <w:adjustRightInd/>
        <w:snapToGrid/>
        <w:spacing w:line="240" w:lineRule="auto"/>
        <w:ind w:firstLine="643" w:firstLineChars="200"/>
        <w:jc w:val="both"/>
        <w:rPr>
          <w:rFonts w:hint="eastAsia" w:ascii="仿宋" w:hAnsi="仿宋" w:eastAsia="仿宋"/>
          <w:sz w:val="32"/>
          <w:szCs w:val="32"/>
          <w:highlight w:val="none"/>
          <w:u w:val="none"/>
        </w:rPr>
      </w:pPr>
      <w:r>
        <w:rPr>
          <w:rFonts w:hint="eastAsia" w:ascii="仿宋" w:hAnsi="仿宋" w:eastAsia="仿宋" w:cs="仿宋"/>
          <w:b/>
          <w:bCs/>
          <w:sz w:val="32"/>
          <w:szCs w:val="32"/>
          <w:highlight w:val="none"/>
          <w:u w:val="none"/>
        </w:rPr>
        <w:t>一是要积极争取</w:t>
      </w:r>
      <w:r>
        <w:rPr>
          <w:rFonts w:hint="eastAsia" w:ascii="仿宋" w:hAnsi="仿宋" w:eastAsia="仿宋" w:cs="仿宋"/>
          <w:b/>
          <w:bCs/>
          <w:sz w:val="32"/>
          <w:szCs w:val="32"/>
          <w:highlight w:val="none"/>
          <w:u w:val="none"/>
          <w:lang w:val="en-US" w:eastAsia="zh-CN"/>
        </w:rPr>
        <w:t>中央、省委省政府及</w:t>
      </w:r>
      <w:r>
        <w:rPr>
          <w:rFonts w:hint="eastAsia" w:ascii="仿宋" w:hAnsi="仿宋" w:eastAsia="仿宋" w:cs="仿宋"/>
          <w:b/>
          <w:bCs/>
          <w:sz w:val="32"/>
          <w:szCs w:val="32"/>
          <w:highlight w:val="none"/>
          <w:u w:val="none"/>
        </w:rPr>
        <w:t>市委市政府的重视支持，力争将供销合作社“十五五”发展规划纳入本级发展规划。</w:t>
      </w:r>
      <w:r>
        <w:rPr>
          <w:rFonts w:hint="eastAsia" w:ascii="仿宋" w:hAnsi="仿宋" w:eastAsia="仿宋"/>
          <w:sz w:val="32"/>
          <w:szCs w:val="32"/>
          <w:highlight w:val="none"/>
          <w:u w:val="none"/>
        </w:rPr>
        <w:t>市、区两级供销合作社要积极争取中央和地方财政资金支持，将中期财政规划和年度预算有限保障农资储备、冷链物流设施建设、基层薄弱社改造、农业社会化服务等重大项目，引导社会资本参与冷链物流、农村电商等项目建设，形成规划实施的资金合力。</w:t>
      </w:r>
      <w:r>
        <w:rPr>
          <w:rFonts w:hint="eastAsia" w:ascii="仿宋" w:hAnsi="仿宋" w:eastAsia="仿宋" w:cs="仿宋"/>
          <w:b/>
          <w:bCs/>
          <w:sz w:val="32"/>
          <w:szCs w:val="32"/>
          <w:highlight w:val="none"/>
          <w:u w:val="none"/>
        </w:rPr>
        <w:t>二是加强与有关部门和金融机构沟通协作</w:t>
      </w:r>
      <w:r>
        <w:rPr>
          <w:rFonts w:hint="eastAsia" w:ascii="仿宋" w:hAnsi="仿宋" w:eastAsia="仿宋" w:cs="仿宋"/>
          <w:b/>
          <w:bCs/>
          <w:sz w:val="32"/>
          <w:szCs w:val="32"/>
          <w:highlight w:val="none"/>
          <w:u w:val="none"/>
          <w:lang w:eastAsia="zh-CN"/>
        </w:rPr>
        <w:t>。</w:t>
      </w:r>
      <w:r>
        <w:rPr>
          <w:rFonts w:hint="eastAsia" w:ascii="仿宋" w:hAnsi="仿宋" w:eastAsia="仿宋"/>
          <w:sz w:val="32"/>
          <w:szCs w:val="32"/>
          <w:highlight w:val="none"/>
          <w:u w:val="none"/>
        </w:rPr>
        <w:t>争取有关职能部门和金融机构对供销合作社实施乡村振兴战略项目的资金奖补和信贷支持。</w:t>
      </w:r>
      <w:r>
        <w:rPr>
          <w:rFonts w:hint="eastAsia" w:ascii="仿宋" w:hAnsi="仿宋" w:eastAsia="仿宋" w:cs="仿宋"/>
          <w:b/>
          <w:bCs/>
          <w:sz w:val="32"/>
          <w:szCs w:val="32"/>
          <w:highlight w:val="none"/>
          <w:u w:val="none"/>
        </w:rPr>
        <w:t>三是提升要素配置效率。</w:t>
      </w:r>
      <w:r>
        <w:rPr>
          <w:rFonts w:hint="eastAsia" w:ascii="仿宋" w:hAnsi="仿宋" w:eastAsia="仿宋"/>
          <w:sz w:val="32"/>
          <w:szCs w:val="32"/>
          <w:highlight w:val="none"/>
          <w:u w:val="none"/>
        </w:rPr>
        <w:t>完善资源要素市场化配置机制，推动资金、人才、技术等要素向核心业务和基层一线倾斜。加强系统内要素使用监管，建设资产保值增值考核机制，提高土地、房产等存量资产利用效率，为规划实施提供高效要素保障。</w:t>
      </w:r>
    </w:p>
    <w:p w14:paraId="5982CCD8">
      <w:pPr>
        <w:pStyle w:val="4"/>
        <w:bidi w:val="0"/>
        <w:ind w:firstLine="880"/>
        <w:rPr>
          <w:rFonts w:hint="eastAsia" w:ascii="Arial" w:hAnsi="Arial"/>
          <w:b w:val="0"/>
          <w:lang w:val="en-US" w:eastAsia="zh-CN"/>
        </w:rPr>
      </w:pPr>
      <w:bookmarkStart w:id="78" w:name="_Toc6875"/>
      <w:r>
        <w:rPr>
          <w:rFonts w:hint="eastAsia" w:ascii="Arial" w:hAnsi="Arial"/>
          <w:b w:val="0"/>
          <w:lang w:val="en-US" w:eastAsia="zh-CN"/>
        </w:rPr>
        <w:t>（五）严明纪律规矩约束，深化作风建设保障</w:t>
      </w:r>
      <w:bookmarkEnd w:id="78"/>
    </w:p>
    <w:p w14:paraId="6C4F1003">
      <w:pPr>
        <w:pStyle w:val="2"/>
        <w:keepNext w:val="0"/>
        <w:keepLines w:val="0"/>
        <w:pageBreakBefore w:val="0"/>
        <w:numPr>
          <w:ilvl w:val="0"/>
          <w:numId w:val="0"/>
        </w:numPr>
        <w:wordWrap/>
        <w:overflowPunct/>
        <w:topLinePunct w:val="0"/>
        <w:bidi w:val="0"/>
        <w:adjustRightInd/>
        <w:snapToGrid/>
        <w:spacing w:line="240" w:lineRule="auto"/>
        <w:ind w:firstLine="643" w:firstLineChars="200"/>
        <w:jc w:val="both"/>
        <w:rPr>
          <w:rFonts w:hint="eastAsia" w:ascii="方正小标宋简体" w:hAnsi="方正小标宋简体" w:eastAsia="方正小标宋简体" w:cs="方正小标宋简体"/>
          <w:b w:val="0"/>
          <w:bCs w:val="0"/>
          <w:sz w:val="32"/>
          <w:szCs w:val="32"/>
          <w:highlight w:val="none"/>
          <w:u w:val="none"/>
          <w:lang w:val="en-US" w:eastAsia="zh-CN"/>
        </w:rPr>
      </w:pPr>
      <w:r>
        <w:rPr>
          <w:rFonts w:hint="eastAsia" w:ascii="仿宋" w:hAnsi="仿宋" w:eastAsia="仿宋" w:cstheme="minorBidi"/>
          <w:b/>
          <w:bCs/>
          <w:kern w:val="2"/>
          <w:sz w:val="32"/>
          <w:szCs w:val="32"/>
          <w:highlight w:val="none"/>
          <w:u w:val="none"/>
          <w:lang w:val="en-US" w:eastAsia="zh-CN" w:bidi="ar-SA"/>
        </w:rPr>
        <w:t>一是严明政治纪律。</w:t>
      </w:r>
      <w:r>
        <w:rPr>
          <w:rFonts w:hint="eastAsia" w:ascii="仿宋" w:hAnsi="仿宋" w:eastAsia="仿宋" w:cstheme="minorBidi"/>
          <w:b w:val="0"/>
          <w:kern w:val="2"/>
          <w:sz w:val="32"/>
          <w:szCs w:val="32"/>
          <w:highlight w:val="none"/>
          <w:u w:val="none"/>
          <w:lang w:val="en-US" w:eastAsia="zh-CN" w:bidi="ar-SA"/>
        </w:rPr>
        <w:t>坚持不懈用习近平新时代中国特色社会主义思想凝心铸魂，确保党中央决策部署不折不扣落地落实;严把干部选用政治标准，着力解决“七个有之”问题，坚决清除“两面人”，严肃纠治思想上的自由主义、政治上的投机主义、组织上的宗派主义、工作上的本位主义、履责上的好人主义。</w:t>
      </w:r>
      <w:r>
        <w:rPr>
          <w:rFonts w:hint="eastAsia" w:ascii="仿宋" w:hAnsi="仿宋" w:eastAsia="仿宋" w:cstheme="minorBidi"/>
          <w:b/>
          <w:bCs/>
          <w:kern w:val="2"/>
          <w:sz w:val="32"/>
          <w:szCs w:val="32"/>
          <w:highlight w:val="none"/>
          <w:u w:val="none"/>
          <w:lang w:val="en-US" w:eastAsia="zh-CN" w:bidi="ar-SA"/>
        </w:rPr>
        <w:t>二是严明制度规矩。</w:t>
      </w:r>
      <w:r>
        <w:rPr>
          <w:rFonts w:hint="eastAsia" w:ascii="仿宋" w:hAnsi="仿宋" w:eastAsia="仿宋" w:cstheme="minorBidi"/>
          <w:b w:val="0"/>
          <w:kern w:val="2"/>
          <w:sz w:val="32"/>
          <w:szCs w:val="32"/>
          <w:highlight w:val="none"/>
          <w:u w:val="none"/>
          <w:lang w:val="en-US" w:eastAsia="zh-CN" w:bidi="ar-SA"/>
        </w:rPr>
        <w:t>织密制度的笼子，强化管权治权的刚性约束，做到法规制度面前人人平等、遵守法规制度没有特权、执行法规制度没有例外。</w:t>
      </w:r>
      <w:r>
        <w:rPr>
          <w:rFonts w:hint="eastAsia" w:ascii="仿宋" w:hAnsi="仿宋" w:eastAsia="仿宋" w:cstheme="minorBidi"/>
          <w:b/>
          <w:bCs/>
          <w:kern w:val="2"/>
          <w:sz w:val="32"/>
          <w:szCs w:val="32"/>
          <w:highlight w:val="none"/>
          <w:u w:val="none"/>
          <w:lang w:val="en-US" w:eastAsia="zh-CN" w:bidi="ar-SA"/>
        </w:rPr>
        <w:t>三是深化作风建设。</w:t>
      </w:r>
      <w:r>
        <w:rPr>
          <w:rFonts w:hint="eastAsia" w:ascii="仿宋" w:hAnsi="仿宋" w:eastAsia="仿宋" w:cstheme="minorBidi"/>
          <w:b w:val="0"/>
          <w:kern w:val="2"/>
          <w:sz w:val="32"/>
          <w:szCs w:val="32"/>
          <w:highlight w:val="none"/>
          <w:u w:val="none"/>
          <w:lang w:val="en-US" w:eastAsia="zh-CN" w:bidi="ar-SA"/>
        </w:rPr>
        <w:t>深化整治形式主义为基层减负，对享乐主义、奢靡之风露头就打，严治不担当、不作为;压实各级党组织主体责任，抓现行、抓典型；抓通报、抓问责。加强干部正确政绩观教育，坚决反对统计造假，深入整治庸懒散、推拖绕等问题。</w:t>
      </w:r>
      <w:r>
        <w:rPr>
          <w:rFonts w:hint="eastAsia" w:ascii="仿宋" w:hAnsi="仿宋" w:eastAsia="仿宋" w:cstheme="minorBidi"/>
          <w:b/>
          <w:bCs/>
          <w:kern w:val="2"/>
          <w:sz w:val="32"/>
          <w:szCs w:val="32"/>
          <w:highlight w:val="none"/>
          <w:u w:val="none"/>
          <w:lang w:val="en-US" w:eastAsia="zh-CN" w:bidi="ar-SA"/>
        </w:rPr>
        <w:t>四是坚决惩治腐败。</w:t>
      </w:r>
      <w:r>
        <w:rPr>
          <w:rFonts w:hint="eastAsia" w:ascii="仿宋" w:hAnsi="仿宋" w:eastAsia="仿宋" w:cstheme="minorBidi"/>
          <w:b w:val="0"/>
          <w:kern w:val="2"/>
          <w:sz w:val="32"/>
          <w:szCs w:val="32"/>
          <w:highlight w:val="none"/>
          <w:u w:val="none"/>
          <w:lang w:val="en-US" w:eastAsia="zh-CN" w:bidi="ar-SA"/>
        </w:rPr>
        <w:t>保持惩治腐败高压态势，不断增强严查重处的震慑性、风腐同治的穿透性、综合施策的协同性、执纪为民的实效性，持续深化群众身边不正之风和腐败问题集中整治，坚决打赢反腐败斗争攻坚战、持久战、总体战。</w:t>
      </w:r>
    </w:p>
    <w:sectPr>
      <w:footerReference r:id="rId3"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仿宋">
    <w:panose1 w:val="02010600040101010101"/>
    <w:charset w:val="86"/>
    <w:family w:val="auto"/>
    <w:pitch w:val="default"/>
    <w:sig w:usb0="00000287" w:usb1="080F0000" w:usb2="00000000" w:usb3="00000000" w:csb0="0004009F" w:csb1="DFD7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方正楷体_GB2312">
    <w:altName w:val="宋体"/>
    <w:panose1 w:val="02000000000000000000"/>
    <w:charset w:val="00"/>
    <w:family w:val="auto"/>
    <w:pitch w:val="default"/>
    <w:sig w:usb0="00000000" w:usb1="00000000" w:usb2="00000012" w:usb3="00000000" w:csb0="00040001" w:csb1="00000000"/>
  </w:font>
  <w:font w:name="国标仿宋">
    <w:altName w:val="仿宋"/>
    <w:panose1 w:val="02000500000000000000"/>
    <w:charset w:val="86"/>
    <w:family w:val="auto"/>
    <w:pitch w:val="default"/>
    <w:sig w:usb0="00000000" w:usb1="00000000" w:usb2="00000016" w:usb3="00000000" w:csb0="00060007" w:csb1="00000000"/>
  </w:font>
  <w:font w:name="Calibri Light">
    <w:panose1 w:val="020F0302020204030204"/>
    <w:charset w:val="00"/>
    <w:family w:val="auto"/>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楷">
    <w:altName w:val="楷体_GB2312"/>
    <w:panose1 w:val="00000000000000000000"/>
    <w:charset w:val="00"/>
    <w:family w:val="auto"/>
    <w:pitch w:val="default"/>
    <w:sig w:usb0="00000000" w:usb1="00000000" w:usb2="00000000" w:usb3="00000000" w:csb0="00000000" w:csb1="00000000"/>
  </w:font>
  <w:font w:name="楷体_GB2312">
    <w:panose1 w:val="02010609030101010101"/>
    <w:charset w:val="86"/>
    <w:family w:val="auto"/>
    <w:pitch w:val="default"/>
    <w:sig w:usb0="00000001" w:usb1="080E0000" w:usb2="00000000" w:usb3="00000000" w:csb0="00040000" w:csb1="00000000"/>
  </w:font>
  <w:font w:name="楷体_">
    <w:altName w:val="楷体_GB2312"/>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81976A">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F08BE7">
                          <w:pPr>
                            <w:pStyle w:val="7"/>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AF08BE7">
                    <w:pPr>
                      <w:pStyle w:val="7"/>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6F9339D"/>
    <w:rsid w:val="004A1B06"/>
    <w:rsid w:val="01161107"/>
    <w:rsid w:val="0136557F"/>
    <w:rsid w:val="03D90444"/>
    <w:rsid w:val="03DB0660"/>
    <w:rsid w:val="03EF5EB9"/>
    <w:rsid w:val="042F4233"/>
    <w:rsid w:val="04E5004F"/>
    <w:rsid w:val="060C45E3"/>
    <w:rsid w:val="062E4A77"/>
    <w:rsid w:val="06605F0F"/>
    <w:rsid w:val="07CD6512"/>
    <w:rsid w:val="07CE0D41"/>
    <w:rsid w:val="09023F99"/>
    <w:rsid w:val="09353399"/>
    <w:rsid w:val="099A2423"/>
    <w:rsid w:val="09DC2A3C"/>
    <w:rsid w:val="0B382C29"/>
    <w:rsid w:val="0B6E3B68"/>
    <w:rsid w:val="0B854033"/>
    <w:rsid w:val="0BAB6B6A"/>
    <w:rsid w:val="0C6B57F4"/>
    <w:rsid w:val="0CA912FB"/>
    <w:rsid w:val="0CD8573D"/>
    <w:rsid w:val="0CF63E15"/>
    <w:rsid w:val="0D0C3638"/>
    <w:rsid w:val="0D2D07E5"/>
    <w:rsid w:val="0D5E03AD"/>
    <w:rsid w:val="0EE7435D"/>
    <w:rsid w:val="0F233AE0"/>
    <w:rsid w:val="0FA97864"/>
    <w:rsid w:val="0FFE6469"/>
    <w:rsid w:val="10727C56"/>
    <w:rsid w:val="10E211BC"/>
    <w:rsid w:val="12840EA8"/>
    <w:rsid w:val="13D86F0D"/>
    <w:rsid w:val="13F26B2D"/>
    <w:rsid w:val="14FB46BE"/>
    <w:rsid w:val="150347E2"/>
    <w:rsid w:val="15E11B06"/>
    <w:rsid w:val="15E46F00"/>
    <w:rsid w:val="16374483"/>
    <w:rsid w:val="16826719"/>
    <w:rsid w:val="190D310B"/>
    <w:rsid w:val="19AF5A77"/>
    <w:rsid w:val="19DE2763"/>
    <w:rsid w:val="1A444411"/>
    <w:rsid w:val="1AEB6F83"/>
    <w:rsid w:val="1BFE6AFA"/>
    <w:rsid w:val="1CE912A0"/>
    <w:rsid w:val="1CF245F9"/>
    <w:rsid w:val="1D5744D2"/>
    <w:rsid w:val="1DE008F5"/>
    <w:rsid w:val="1E3B1FCF"/>
    <w:rsid w:val="1F1C0F96"/>
    <w:rsid w:val="1F3A5DE3"/>
    <w:rsid w:val="1F9108A4"/>
    <w:rsid w:val="209D57BC"/>
    <w:rsid w:val="20E9246E"/>
    <w:rsid w:val="21130FE1"/>
    <w:rsid w:val="21742A4C"/>
    <w:rsid w:val="21B87493"/>
    <w:rsid w:val="22AC720F"/>
    <w:rsid w:val="22F94434"/>
    <w:rsid w:val="232A0BAB"/>
    <w:rsid w:val="23383B4A"/>
    <w:rsid w:val="23880EB2"/>
    <w:rsid w:val="23E46C65"/>
    <w:rsid w:val="23E9654A"/>
    <w:rsid w:val="2435170E"/>
    <w:rsid w:val="24DC533B"/>
    <w:rsid w:val="25761033"/>
    <w:rsid w:val="25D16D75"/>
    <w:rsid w:val="25E847EB"/>
    <w:rsid w:val="28E73839"/>
    <w:rsid w:val="299407E6"/>
    <w:rsid w:val="29CC4423"/>
    <w:rsid w:val="2AAD6003"/>
    <w:rsid w:val="2B483C9E"/>
    <w:rsid w:val="2B5D3585"/>
    <w:rsid w:val="2BBF25ED"/>
    <w:rsid w:val="2BDD1A62"/>
    <w:rsid w:val="2C452D73"/>
    <w:rsid w:val="2CFA0F28"/>
    <w:rsid w:val="2D8469EC"/>
    <w:rsid w:val="2ED31DB0"/>
    <w:rsid w:val="2F6561FF"/>
    <w:rsid w:val="2FC00586"/>
    <w:rsid w:val="30BD4AC6"/>
    <w:rsid w:val="31C95503"/>
    <w:rsid w:val="32AB107A"/>
    <w:rsid w:val="32C36F0E"/>
    <w:rsid w:val="32EC272D"/>
    <w:rsid w:val="33C57F19"/>
    <w:rsid w:val="33E12879"/>
    <w:rsid w:val="33F64577"/>
    <w:rsid w:val="344D6161"/>
    <w:rsid w:val="349C79C3"/>
    <w:rsid w:val="35643762"/>
    <w:rsid w:val="35EF74CF"/>
    <w:rsid w:val="36374A5E"/>
    <w:rsid w:val="3669404A"/>
    <w:rsid w:val="36A45E1B"/>
    <w:rsid w:val="37B22EAA"/>
    <w:rsid w:val="38BB5D8F"/>
    <w:rsid w:val="3AD66C9C"/>
    <w:rsid w:val="3BBC60A6"/>
    <w:rsid w:val="3D98739B"/>
    <w:rsid w:val="3DC952A3"/>
    <w:rsid w:val="3DD323A4"/>
    <w:rsid w:val="3E6A106C"/>
    <w:rsid w:val="3F731171"/>
    <w:rsid w:val="3FE47266"/>
    <w:rsid w:val="4070745F"/>
    <w:rsid w:val="412D6568"/>
    <w:rsid w:val="41FD359E"/>
    <w:rsid w:val="42A87384"/>
    <w:rsid w:val="43081BD1"/>
    <w:rsid w:val="433E686F"/>
    <w:rsid w:val="43920C5D"/>
    <w:rsid w:val="4407632C"/>
    <w:rsid w:val="441C332C"/>
    <w:rsid w:val="451B01D2"/>
    <w:rsid w:val="477D4A69"/>
    <w:rsid w:val="486F624E"/>
    <w:rsid w:val="48FB518F"/>
    <w:rsid w:val="49C8030C"/>
    <w:rsid w:val="4A537D07"/>
    <w:rsid w:val="4BD016F9"/>
    <w:rsid w:val="4C03387D"/>
    <w:rsid w:val="4C2A69D5"/>
    <w:rsid w:val="4CAE1A3B"/>
    <w:rsid w:val="4F216F04"/>
    <w:rsid w:val="51231C25"/>
    <w:rsid w:val="52F91536"/>
    <w:rsid w:val="54260AC9"/>
    <w:rsid w:val="54CF1736"/>
    <w:rsid w:val="554637BF"/>
    <w:rsid w:val="555767EB"/>
    <w:rsid w:val="55713CC5"/>
    <w:rsid w:val="55AA58ED"/>
    <w:rsid w:val="564C7BCE"/>
    <w:rsid w:val="56521689"/>
    <w:rsid w:val="569B7A49"/>
    <w:rsid w:val="56E30ECF"/>
    <w:rsid w:val="56F548C1"/>
    <w:rsid w:val="57842C6E"/>
    <w:rsid w:val="58883D79"/>
    <w:rsid w:val="58B22C74"/>
    <w:rsid w:val="59350E2A"/>
    <w:rsid w:val="5A9C3E81"/>
    <w:rsid w:val="5AE210EF"/>
    <w:rsid w:val="5B9126D0"/>
    <w:rsid w:val="5BD466FE"/>
    <w:rsid w:val="5C695347"/>
    <w:rsid w:val="5D57293A"/>
    <w:rsid w:val="5DBE5856"/>
    <w:rsid w:val="5FEE36F5"/>
    <w:rsid w:val="60435646"/>
    <w:rsid w:val="60D12817"/>
    <w:rsid w:val="6199028F"/>
    <w:rsid w:val="61AD14C3"/>
    <w:rsid w:val="61C65B0C"/>
    <w:rsid w:val="62620EA5"/>
    <w:rsid w:val="626630EB"/>
    <w:rsid w:val="628E603C"/>
    <w:rsid w:val="62FB1826"/>
    <w:rsid w:val="63027872"/>
    <w:rsid w:val="632726A3"/>
    <w:rsid w:val="63275C4B"/>
    <w:rsid w:val="63DF2082"/>
    <w:rsid w:val="659F41BF"/>
    <w:rsid w:val="65CE4FEA"/>
    <w:rsid w:val="6635242D"/>
    <w:rsid w:val="66500AC4"/>
    <w:rsid w:val="66824E83"/>
    <w:rsid w:val="669B2BD8"/>
    <w:rsid w:val="66F26570"/>
    <w:rsid w:val="66F9339D"/>
    <w:rsid w:val="672029F8"/>
    <w:rsid w:val="67F323F9"/>
    <w:rsid w:val="68213928"/>
    <w:rsid w:val="699A7177"/>
    <w:rsid w:val="6A0231A0"/>
    <w:rsid w:val="6A0465D1"/>
    <w:rsid w:val="6A415844"/>
    <w:rsid w:val="6A505A77"/>
    <w:rsid w:val="6AA84736"/>
    <w:rsid w:val="6ABA0B95"/>
    <w:rsid w:val="6C832144"/>
    <w:rsid w:val="6E5A6F94"/>
    <w:rsid w:val="6EA04ECD"/>
    <w:rsid w:val="6F2E083A"/>
    <w:rsid w:val="6F4626FC"/>
    <w:rsid w:val="6F6E4200"/>
    <w:rsid w:val="71704E8C"/>
    <w:rsid w:val="725B146D"/>
    <w:rsid w:val="73692092"/>
    <w:rsid w:val="747D19B7"/>
    <w:rsid w:val="74B12E32"/>
    <w:rsid w:val="74D55507"/>
    <w:rsid w:val="752E021F"/>
    <w:rsid w:val="757D3BF3"/>
    <w:rsid w:val="75ED7121"/>
    <w:rsid w:val="75F31DC5"/>
    <w:rsid w:val="76E81BC9"/>
    <w:rsid w:val="76FB6D7B"/>
    <w:rsid w:val="770A183D"/>
    <w:rsid w:val="776C1A27"/>
    <w:rsid w:val="782C0FF0"/>
    <w:rsid w:val="785B3F75"/>
    <w:rsid w:val="786F9B77"/>
    <w:rsid w:val="78792729"/>
    <w:rsid w:val="788D60F9"/>
    <w:rsid w:val="790404C6"/>
    <w:rsid w:val="791D3EF1"/>
    <w:rsid w:val="79660E24"/>
    <w:rsid w:val="79BD2A0E"/>
    <w:rsid w:val="7AC34054"/>
    <w:rsid w:val="7B01611B"/>
    <w:rsid w:val="7B18215A"/>
    <w:rsid w:val="7BBA0FB3"/>
    <w:rsid w:val="7CFF606F"/>
    <w:rsid w:val="7D601DE1"/>
    <w:rsid w:val="7E7A711F"/>
    <w:rsid w:val="7F9A6D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keepNext/>
      <w:keepLines/>
      <w:spacing w:line="240" w:lineRule="auto"/>
      <w:ind w:firstLine="880" w:firstLineChars="200"/>
      <w:jc w:val="both"/>
      <w:outlineLvl w:val="0"/>
    </w:pPr>
    <w:rPr>
      <w:rFonts w:eastAsia="黑体" w:cs="Times New Roman" w:asciiTheme="minorAscii" w:hAnsiTheme="minorAscii"/>
      <w:snapToGrid w:val="0"/>
      <w:color w:val="000000"/>
      <w:kern w:val="44"/>
      <w:sz w:val="32"/>
      <w:lang w:eastAsia="en-US"/>
    </w:rPr>
  </w:style>
  <w:style w:type="paragraph" w:styleId="4">
    <w:name w:val="heading 2"/>
    <w:basedOn w:val="1"/>
    <w:next w:val="1"/>
    <w:unhideWhenUsed/>
    <w:qFormat/>
    <w:uiPriority w:val="0"/>
    <w:pPr>
      <w:keepNext/>
      <w:keepLines/>
      <w:spacing w:beforeLines="0" w:beforeAutospacing="0" w:afterLines="0" w:afterAutospacing="0" w:line="240" w:lineRule="auto"/>
      <w:ind w:firstLine="880" w:firstLineChars="200"/>
      <w:outlineLvl w:val="1"/>
    </w:pPr>
    <w:rPr>
      <w:rFonts w:ascii="Arial" w:hAnsi="Arial" w:eastAsia="楷体_GB2312"/>
      <w:sz w:val="32"/>
    </w:rPr>
  </w:style>
  <w:style w:type="paragraph" w:styleId="5">
    <w:name w:val="heading 3"/>
    <w:basedOn w:val="1"/>
    <w:next w:val="1"/>
    <w:unhideWhenUsed/>
    <w:qFormat/>
    <w:uiPriority w:val="0"/>
    <w:pPr>
      <w:spacing w:before="100" w:beforeAutospacing="1" w:after="100" w:afterAutospacing="1"/>
      <w:jc w:val="left"/>
      <w:outlineLvl w:val="2"/>
    </w:pPr>
    <w:rPr>
      <w:rFonts w:hint="eastAsia" w:ascii="宋体" w:hAnsi="宋体" w:eastAsia="华文仿宋" w:cs="宋体"/>
      <w:b/>
      <w:bCs/>
      <w:kern w:val="0"/>
      <w:sz w:val="32"/>
      <w:szCs w:val="27"/>
      <w:lang w:bidi="ar"/>
    </w:rPr>
  </w:style>
  <w:style w:type="character" w:default="1" w:styleId="14">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2">
    <w:name w:val="Plain Text"/>
    <w:basedOn w:val="1"/>
    <w:next w:val="1"/>
    <w:qFormat/>
    <w:uiPriority w:val="0"/>
    <w:pPr>
      <w:jc w:val="left"/>
      <w:outlineLvl w:val="2"/>
    </w:pPr>
    <w:rPr>
      <w:rFonts w:ascii="宋体" w:hAnsi="Courier New" w:cs="Courier New"/>
      <w:b/>
      <w:kern w:val="0"/>
      <w:szCs w:val="21"/>
    </w:rPr>
  </w:style>
  <w:style w:type="paragraph" w:styleId="6">
    <w:name w:val="Body Text Indent 2"/>
    <w:basedOn w:val="1"/>
    <w:qFormat/>
    <w:uiPriority w:val="0"/>
    <w:pPr>
      <w:spacing w:after="120" w:afterLines="0" w:line="480" w:lineRule="auto"/>
      <w:ind w:left="420" w:leftChars="200"/>
    </w:pPr>
  </w:style>
  <w:style w:type="paragraph" w:styleId="7">
    <w:name w:val="footer"/>
    <w:basedOn w:val="1"/>
    <w:next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toc 1"/>
    <w:basedOn w:val="1"/>
    <w:next w:val="1"/>
    <w:qFormat/>
    <w:uiPriority w:val="0"/>
    <w:rPr>
      <w:rFonts w:ascii="仿宋_GB2312" w:hAnsi="仿宋_GB2312" w:eastAsia="仿宋_GB2312"/>
      <w:sz w:val="32"/>
    </w:rPr>
  </w:style>
  <w:style w:type="paragraph" w:styleId="10">
    <w:name w:val="toc 2"/>
    <w:basedOn w:val="1"/>
    <w:next w:val="1"/>
    <w:qFormat/>
    <w:uiPriority w:val="0"/>
    <w:pPr>
      <w:ind w:left="420" w:leftChars="200"/>
    </w:pPr>
    <w:rPr>
      <w:rFonts w:ascii="仿宋_GB2312" w:hAnsi="仿宋_GB2312" w:eastAsia="仿宋_GB2312"/>
      <w:sz w:val="32"/>
    </w:rPr>
  </w:style>
  <w:style w:type="paragraph" w:styleId="11">
    <w:name w:val="Normal (Web)"/>
    <w:basedOn w:val="1"/>
    <w:qFormat/>
    <w:uiPriority w:val="0"/>
    <w:pPr>
      <w:widowControl/>
      <w:spacing w:before="100" w:beforeLines="0" w:beforeAutospacing="1" w:after="100" w:afterLines="0" w:afterAutospacing="1"/>
      <w:jc w:val="left"/>
    </w:pPr>
    <w:rPr>
      <w:rFonts w:ascii="宋体" w:hAnsi="宋体" w:cs="宋体"/>
      <w:kern w:val="0"/>
      <w:sz w:val="24"/>
    </w:r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basedOn w:val="14"/>
    <w:qFormat/>
    <w:uiPriority w:val="0"/>
    <w:rPr>
      <w:b/>
    </w:rPr>
  </w:style>
  <w:style w:type="paragraph" w:customStyle="1" w:styleId="16">
    <w:name w:val="Default"/>
    <w:unhideWhenUsed/>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72</Pages>
  <Words>34530</Words>
  <Characters>35125</Characters>
  <Lines>0</Lines>
  <Paragraphs>0</Paragraphs>
  <TotalTime>11</TotalTime>
  <ScaleCrop>false</ScaleCrop>
  <LinksUpToDate>false</LinksUpToDate>
  <CharactersWithSpaces>43760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2026-01-20T15:08:00Z</dcterms:created>
  <dc:creator>WPS_1619602774</dc:creator>
  <cp:lastModifiedBy>Administrator</cp:lastModifiedBy>
  <cp:lastPrinted>2026-03-27T03:33:00Z</cp:lastPrinted>
  <dcterms:modified xsi:type="dcterms:W3CDTF">2026-03-31T07:19:08Z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C6FE506FA5A74405B5D6740C9F90C206_13</vt:lpwstr>
  </property>
  <property fmtid="{D5CDD505-2E9C-101B-9397-08002B2CF9AE}" pid="4" name="KSOTemplateDocerSaveRecord">
    <vt:lpwstr>eyJoZGlkIjoiZGU2NzE3MDg2Mjc5MzU2MmQ3YmU0MGIzN2E5ODg5MTkiLCJ1c2VySWQiOiI1NzY5NzA0NjQifQ==</vt:lpwstr>
  </property>
</Properties>
</file>